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A675D" w14:textId="358DBBCF" w:rsidR="0015112C" w:rsidRDefault="0015112C">
      <w:r>
        <w:t>January 2025</w:t>
      </w:r>
    </w:p>
    <w:p w14:paraId="6475D4FF" w14:textId="196AD502" w:rsidR="0015112C" w:rsidRPr="0015112C" w:rsidRDefault="0068161C" w:rsidP="005534A9">
      <w:r>
        <w:t xml:space="preserve">Dear Parents/Carers, </w:t>
      </w:r>
    </w:p>
    <w:p w14:paraId="5BAE58E8" w14:textId="327A7B47" w:rsidR="00510A5A" w:rsidRPr="0015112C" w:rsidRDefault="005534A9" w:rsidP="0015112C">
      <w:pPr>
        <w:rPr>
          <w:b/>
        </w:rPr>
      </w:pPr>
      <w:r w:rsidRPr="005534A9">
        <w:rPr>
          <w:b/>
        </w:rPr>
        <w:t>RE:</w:t>
      </w:r>
      <w:r w:rsidR="007E21C6">
        <w:rPr>
          <w:b/>
        </w:rPr>
        <w:t xml:space="preserve"> </w:t>
      </w:r>
      <w:r w:rsidR="00510A5A">
        <w:rPr>
          <w:b/>
        </w:rPr>
        <w:t>New York Trip – October 20</w:t>
      </w:r>
      <w:r w:rsidR="00877ABD">
        <w:rPr>
          <w:b/>
        </w:rPr>
        <w:t>26</w:t>
      </w:r>
    </w:p>
    <w:p w14:paraId="71176A8E" w14:textId="13AD7268" w:rsidR="00510A5A" w:rsidRDefault="00510A5A" w:rsidP="00510A5A">
      <w:pPr>
        <w:jc w:val="both"/>
      </w:pPr>
      <w:r>
        <w:t xml:space="preserve">We are thrilled to announce an extraordinary educational opportunity for your child. A trip to the vibrant and culturally rich city of New York City. We believe that this trip will provide an invaluable learning experience and contribute to your child's personal and academic growth. </w:t>
      </w:r>
      <w:r w:rsidR="00D904AC">
        <w:t xml:space="preserve">The trip dates currently proposed </w:t>
      </w:r>
      <w:r w:rsidR="005F2039">
        <w:t>ar</w:t>
      </w:r>
      <w:r w:rsidR="00877ABD">
        <w:t>e for 5 days and 4 nights week commencing 19</w:t>
      </w:r>
      <w:r w:rsidR="00877ABD" w:rsidRPr="00877ABD">
        <w:rPr>
          <w:vertAlign w:val="superscript"/>
        </w:rPr>
        <w:t>th</w:t>
      </w:r>
      <w:r w:rsidR="00877ABD">
        <w:t xml:space="preserve"> October 2026. Exact dates are also </w:t>
      </w:r>
      <w:r w:rsidR="00D904AC">
        <w:t>subject to flight availability.</w:t>
      </w:r>
    </w:p>
    <w:p w14:paraId="1386807F" w14:textId="33588F5D" w:rsidR="00431762" w:rsidRDefault="00510A5A" w:rsidP="00510A5A">
      <w:pPr>
        <w:jc w:val="both"/>
      </w:pPr>
      <w:r>
        <w:t xml:space="preserve">We have 40 spaces available for this trip, </w:t>
      </w:r>
      <w:r w:rsidR="004663C1">
        <w:t xml:space="preserve">and as </w:t>
      </w:r>
      <w:r w:rsidR="00D463D2">
        <w:t>we anticipate a high demand for places</w:t>
      </w:r>
      <w:r w:rsidR="004663C1">
        <w:t>, we are asking for expressions of interest in the trip with</w:t>
      </w:r>
      <w:r>
        <w:t xml:space="preserve"> </w:t>
      </w:r>
      <w:r w:rsidR="00D463D2">
        <w:t xml:space="preserve">the final place allocation </w:t>
      </w:r>
      <w:r w:rsidR="004663C1">
        <w:t>being</w:t>
      </w:r>
      <w:r w:rsidR="00D463D2">
        <w:t xml:space="preserve"> awarded on a lottery basis to ensure fairness and impartiality. </w:t>
      </w:r>
      <w:r>
        <w:t>We encourage all Year 8 and Year 9 students to express their interest in joining the trip by completing the Microsoft Forms registration form, which can be accessed through the following link</w:t>
      </w:r>
      <w:r w:rsidR="00431762">
        <w:t xml:space="preserve"> </w:t>
      </w:r>
      <w:hyperlink r:id="rId8" w:history="1">
        <w:r w:rsidR="00431762" w:rsidRPr="00D463D2">
          <w:rPr>
            <w:rStyle w:val="Hyperlink"/>
          </w:rPr>
          <w:t>here</w:t>
        </w:r>
      </w:hyperlink>
      <w:r w:rsidR="00431762">
        <w:t xml:space="preserve">. </w:t>
      </w:r>
      <w:r w:rsidR="004663C1">
        <w:t>If your child is interested in attending this trip, please complete the form by Sunday 23 February 2025.</w:t>
      </w:r>
    </w:p>
    <w:p w14:paraId="528BD08E" w14:textId="4ED1F155" w:rsidR="00510A5A" w:rsidRDefault="00510A5A" w:rsidP="00510A5A">
      <w:pPr>
        <w:jc w:val="both"/>
      </w:pPr>
      <w:r>
        <w:t>Please note that expressing interest does not guarantee a spot on the trip.</w:t>
      </w:r>
      <w:r w:rsidR="0015112C">
        <w:t xml:space="preserve"> </w:t>
      </w:r>
    </w:p>
    <w:p w14:paraId="6EB7CFD1" w14:textId="4C9288AE" w:rsidR="004663C1" w:rsidRDefault="00510A5A" w:rsidP="004663C1">
      <w:pPr>
        <w:jc w:val="both"/>
      </w:pPr>
      <w:r>
        <w:t>Due to the nature of the booking process, we can only provide an approximate cost at this time</w:t>
      </w:r>
      <w:r w:rsidR="00D463D2">
        <w:t>, which we anticipate being in the region of £1</w:t>
      </w:r>
      <w:r w:rsidR="004663C1">
        <w:t>,</w:t>
      </w:r>
      <w:r w:rsidR="004C76E2">
        <w:t>475</w:t>
      </w:r>
      <w:r w:rsidR="00D463D2">
        <w:t>.00</w:t>
      </w:r>
      <w:r>
        <w:t>. Please be aware that the price may increase or decrease as we are only able to book flights 11 months in advance. We will keep you updated on any changes regarding the estimated cost.</w:t>
      </w:r>
      <w:r w:rsidR="004663C1">
        <w:t xml:space="preserve"> There is also a discount available for students in receipt of free school meals. </w:t>
      </w:r>
    </w:p>
    <w:p w14:paraId="7560FA14" w14:textId="25DD3C21" w:rsidR="004B1B52" w:rsidRDefault="004663C1" w:rsidP="00510A5A">
      <w:pPr>
        <w:jc w:val="both"/>
      </w:pPr>
      <w:r>
        <w:t>With an anticipated cost of £1,475, we would expect the payment plan to be as follows:</w:t>
      </w:r>
    </w:p>
    <w:tbl>
      <w:tblPr>
        <w:tblStyle w:val="TableGrid"/>
        <w:tblW w:w="0" w:type="auto"/>
        <w:tblLook w:val="04A0" w:firstRow="1" w:lastRow="0" w:firstColumn="1" w:lastColumn="0" w:noHBand="0" w:noVBand="1"/>
      </w:tblPr>
      <w:tblGrid>
        <w:gridCol w:w="1838"/>
        <w:gridCol w:w="1843"/>
        <w:gridCol w:w="1843"/>
        <w:gridCol w:w="1843"/>
      </w:tblGrid>
      <w:tr w:rsidR="00B1423F" w14:paraId="7BB9AC73" w14:textId="00A1A79F" w:rsidTr="00B1423F">
        <w:tc>
          <w:tcPr>
            <w:tcW w:w="1838" w:type="dxa"/>
            <w:tcBorders>
              <w:top w:val="single" w:sz="4" w:space="0" w:color="auto"/>
              <w:left w:val="single" w:sz="4" w:space="0" w:color="auto"/>
              <w:bottom w:val="single" w:sz="4" w:space="0" w:color="auto"/>
              <w:right w:val="single" w:sz="4" w:space="0" w:color="auto"/>
            </w:tcBorders>
            <w:hideMark/>
          </w:tcPr>
          <w:p w14:paraId="6D7E5ABC" w14:textId="73E79E4D" w:rsidR="00B1423F" w:rsidRDefault="00B1423F" w:rsidP="00B1423F">
            <w:r>
              <w:t>Deposit by 4</w:t>
            </w:r>
            <w:r w:rsidRPr="00B1423F">
              <w:rPr>
                <w:vertAlign w:val="superscript"/>
              </w:rPr>
              <w:t>th</w:t>
            </w:r>
            <w:r>
              <w:t xml:space="preserve"> April 2025</w:t>
            </w:r>
          </w:p>
        </w:tc>
        <w:tc>
          <w:tcPr>
            <w:tcW w:w="1843" w:type="dxa"/>
            <w:tcBorders>
              <w:top w:val="single" w:sz="4" w:space="0" w:color="auto"/>
              <w:left w:val="single" w:sz="4" w:space="0" w:color="auto"/>
              <w:bottom w:val="single" w:sz="4" w:space="0" w:color="auto"/>
              <w:right w:val="single" w:sz="4" w:space="0" w:color="auto"/>
            </w:tcBorders>
            <w:hideMark/>
          </w:tcPr>
          <w:p w14:paraId="236BDAE8" w14:textId="765E04B7" w:rsidR="00B1423F" w:rsidRDefault="00B1423F" w:rsidP="00B1423F">
            <w:r>
              <w:t>£75.00</w:t>
            </w:r>
          </w:p>
        </w:tc>
        <w:tc>
          <w:tcPr>
            <w:tcW w:w="1843" w:type="dxa"/>
            <w:shd w:val="clear" w:color="auto" w:fill="000000" w:themeFill="text1"/>
          </w:tcPr>
          <w:p w14:paraId="54A83E26" w14:textId="13C06B04" w:rsidR="00B1423F" w:rsidRDefault="00B1423F" w:rsidP="00B1423F">
            <w:r>
              <w:t xml:space="preserve"> </w:t>
            </w:r>
          </w:p>
        </w:tc>
        <w:tc>
          <w:tcPr>
            <w:tcW w:w="1843" w:type="dxa"/>
            <w:shd w:val="clear" w:color="auto" w:fill="000000" w:themeFill="text1"/>
          </w:tcPr>
          <w:p w14:paraId="55652B45" w14:textId="4D0B7A75" w:rsidR="00B1423F" w:rsidRDefault="00B1423F" w:rsidP="00B1423F">
            <w:r>
              <w:t xml:space="preserve"> </w:t>
            </w:r>
          </w:p>
        </w:tc>
      </w:tr>
      <w:tr w:rsidR="008B7EEC" w14:paraId="4714236E" w14:textId="0DF6EA72" w:rsidTr="00D55DDC">
        <w:tc>
          <w:tcPr>
            <w:tcW w:w="1838" w:type="dxa"/>
            <w:tcBorders>
              <w:top w:val="single" w:sz="4" w:space="0" w:color="auto"/>
              <w:left w:val="single" w:sz="4" w:space="0" w:color="auto"/>
              <w:bottom w:val="single" w:sz="4" w:space="0" w:color="auto"/>
              <w:right w:val="single" w:sz="4" w:space="0" w:color="auto"/>
            </w:tcBorders>
          </w:tcPr>
          <w:p w14:paraId="1D19C47F" w14:textId="1C4AE2A0" w:rsidR="008B7EEC" w:rsidRDefault="008B7EEC" w:rsidP="008B7EEC">
            <w:r>
              <w:t>May 25</w:t>
            </w:r>
          </w:p>
        </w:tc>
        <w:tc>
          <w:tcPr>
            <w:tcW w:w="1843" w:type="dxa"/>
            <w:tcBorders>
              <w:top w:val="single" w:sz="4" w:space="0" w:color="auto"/>
              <w:left w:val="single" w:sz="4" w:space="0" w:color="auto"/>
              <w:bottom w:val="single" w:sz="4" w:space="0" w:color="auto"/>
              <w:right w:val="single" w:sz="4" w:space="0" w:color="auto"/>
            </w:tcBorders>
          </w:tcPr>
          <w:p w14:paraId="0093F469" w14:textId="6ED82967" w:rsidR="008B7EEC" w:rsidRDefault="008B7EEC" w:rsidP="008B7EEC">
            <w:r>
              <w:t>£8</w:t>
            </w:r>
            <w:r w:rsidR="004C76E2">
              <w:t>7.50</w:t>
            </w:r>
          </w:p>
        </w:tc>
        <w:tc>
          <w:tcPr>
            <w:tcW w:w="1843" w:type="dxa"/>
          </w:tcPr>
          <w:p w14:paraId="548CC0A0" w14:textId="149E3D3D" w:rsidR="008B7EEC" w:rsidRDefault="008B7EEC" w:rsidP="008B7EEC">
            <w:r>
              <w:t>Jan 26</w:t>
            </w:r>
          </w:p>
        </w:tc>
        <w:tc>
          <w:tcPr>
            <w:tcW w:w="1843" w:type="dxa"/>
          </w:tcPr>
          <w:p w14:paraId="36C69038" w14:textId="146CBA9F" w:rsidR="008B7EEC" w:rsidRDefault="008B7EEC" w:rsidP="008B7EEC">
            <w:r w:rsidRPr="007421A6">
              <w:t>£8</w:t>
            </w:r>
            <w:r w:rsidR="004C76E2">
              <w:t>7.50</w:t>
            </w:r>
          </w:p>
        </w:tc>
      </w:tr>
      <w:tr w:rsidR="008B7EEC" w14:paraId="4290BCB4" w14:textId="21846647" w:rsidTr="00D55DDC">
        <w:tc>
          <w:tcPr>
            <w:tcW w:w="1838" w:type="dxa"/>
            <w:tcBorders>
              <w:top w:val="single" w:sz="4" w:space="0" w:color="auto"/>
              <w:left w:val="single" w:sz="4" w:space="0" w:color="auto"/>
              <w:bottom w:val="single" w:sz="4" w:space="0" w:color="auto"/>
              <w:right w:val="single" w:sz="4" w:space="0" w:color="auto"/>
            </w:tcBorders>
          </w:tcPr>
          <w:p w14:paraId="6AA01125" w14:textId="572149B1" w:rsidR="008B7EEC" w:rsidRDefault="008B7EEC" w:rsidP="008B7EEC">
            <w:r>
              <w:t>Jun 25</w:t>
            </w:r>
          </w:p>
        </w:tc>
        <w:tc>
          <w:tcPr>
            <w:tcW w:w="1843" w:type="dxa"/>
            <w:tcBorders>
              <w:top w:val="single" w:sz="4" w:space="0" w:color="auto"/>
              <w:left w:val="single" w:sz="4" w:space="0" w:color="auto"/>
              <w:bottom w:val="single" w:sz="4" w:space="0" w:color="auto"/>
              <w:right w:val="single" w:sz="4" w:space="0" w:color="auto"/>
            </w:tcBorders>
          </w:tcPr>
          <w:p w14:paraId="19BEAA1C" w14:textId="1B459553" w:rsidR="008B7EEC" w:rsidRDefault="008B7EEC" w:rsidP="008B7EEC">
            <w:r w:rsidRPr="008B761A">
              <w:t>£8</w:t>
            </w:r>
            <w:r w:rsidR="004C76E2">
              <w:t>7.50</w:t>
            </w:r>
          </w:p>
        </w:tc>
        <w:tc>
          <w:tcPr>
            <w:tcW w:w="1843" w:type="dxa"/>
          </w:tcPr>
          <w:p w14:paraId="6F546D5C" w14:textId="39C336AB" w:rsidR="008B7EEC" w:rsidRDefault="008B7EEC" w:rsidP="008B7EEC">
            <w:r>
              <w:t>Feb 26</w:t>
            </w:r>
          </w:p>
        </w:tc>
        <w:tc>
          <w:tcPr>
            <w:tcW w:w="1843" w:type="dxa"/>
          </w:tcPr>
          <w:p w14:paraId="14F44BC6" w14:textId="115AF533" w:rsidR="008B7EEC" w:rsidRDefault="008B7EEC" w:rsidP="008B7EEC">
            <w:r w:rsidRPr="007421A6">
              <w:t>£8</w:t>
            </w:r>
            <w:r w:rsidR="004C76E2">
              <w:t>7.50</w:t>
            </w:r>
            <w:r w:rsidRPr="007421A6">
              <w:t xml:space="preserve"> </w:t>
            </w:r>
          </w:p>
        </w:tc>
      </w:tr>
      <w:tr w:rsidR="008B7EEC" w14:paraId="3A903AD2" w14:textId="0A07B397" w:rsidTr="00D55DDC">
        <w:tc>
          <w:tcPr>
            <w:tcW w:w="1838" w:type="dxa"/>
            <w:tcBorders>
              <w:top w:val="single" w:sz="4" w:space="0" w:color="auto"/>
              <w:left w:val="single" w:sz="4" w:space="0" w:color="auto"/>
              <w:bottom w:val="single" w:sz="4" w:space="0" w:color="auto"/>
              <w:right w:val="single" w:sz="4" w:space="0" w:color="auto"/>
            </w:tcBorders>
          </w:tcPr>
          <w:p w14:paraId="45A418A3" w14:textId="70DF0772" w:rsidR="008B7EEC" w:rsidRDefault="008B7EEC" w:rsidP="008B7EEC">
            <w:r>
              <w:t>Jul 25</w:t>
            </w:r>
          </w:p>
        </w:tc>
        <w:tc>
          <w:tcPr>
            <w:tcW w:w="1843" w:type="dxa"/>
            <w:tcBorders>
              <w:top w:val="single" w:sz="4" w:space="0" w:color="auto"/>
              <w:left w:val="single" w:sz="4" w:space="0" w:color="auto"/>
              <w:bottom w:val="single" w:sz="4" w:space="0" w:color="auto"/>
              <w:right w:val="single" w:sz="4" w:space="0" w:color="auto"/>
            </w:tcBorders>
          </w:tcPr>
          <w:p w14:paraId="4351F77C" w14:textId="10B0A98E" w:rsidR="008B7EEC" w:rsidRDefault="008B7EEC" w:rsidP="008B7EEC">
            <w:r w:rsidRPr="008B761A">
              <w:t>£8</w:t>
            </w:r>
            <w:r w:rsidR="004C76E2">
              <w:t>7.50</w:t>
            </w:r>
            <w:r w:rsidRPr="008B761A">
              <w:t xml:space="preserve"> </w:t>
            </w:r>
          </w:p>
        </w:tc>
        <w:tc>
          <w:tcPr>
            <w:tcW w:w="1843" w:type="dxa"/>
          </w:tcPr>
          <w:p w14:paraId="64816ED0" w14:textId="795A6EA4" w:rsidR="008B7EEC" w:rsidRDefault="008B7EEC" w:rsidP="008B7EEC">
            <w:r>
              <w:t>Mar 26</w:t>
            </w:r>
          </w:p>
        </w:tc>
        <w:tc>
          <w:tcPr>
            <w:tcW w:w="1843" w:type="dxa"/>
          </w:tcPr>
          <w:p w14:paraId="5484FBED" w14:textId="275CB15D" w:rsidR="008B7EEC" w:rsidRDefault="008B7EEC" w:rsidP="008B7EEC">
            <w:r w:rsidRPr="007421A6">
              <w:t>£8</w:t>
            </w:r>
            <w:r w:rsidR="004C76E2">
              <w:t>7.50</w:t>
            </w:r>
            <w:r w:rsidRPr="007421A6">
              <w:t xml:space="preserve"> </w:t>
            </w:r>
          </w:p>
        </w:tc>
      </w:tr>
      <w:tr w:rsidR="008B7EEC" w14:paraId="2F2F32DC" w14:textId="789EE0FA" w:rsidTr="00D55DDC">
        <w:tc>
          <w:tcPr>
            <w:tcW w:w="1838" w:type="dxa"/>
            <w:tcBorders>
              <w:top w:val="single" w:sz="4" w:space="0" w:color="auto"/>
              <w:left w:val="single" w:sz="4" w:space="0" w:color="auto"/>
              <w:bottom w:val="single" w:sz="4" w:space="0" w:color="auto"/>
              <w:right w:val="single" w:sz="4" w:space="0" w:color="auto"/>
            </w:tcBorders>
          </w:tcPr>
          <w:p w14:paraId="4A2D5DE9" w14:textId="5BC33AF6" w:rsidR="008B7EEC" w:rsidRDefault="008B7EEC" w:rsidP="008B7EEC">
            <w:r>
              <w:t>Aug 25</w:t>
            </w:r>
          </w:p>
        </w:tc>
        <w:tc>
          <w:tcPr>
            <w:tcW w:w="1843" w:type="dxa"/>
            <w:tcBorders>
              <w:top w:val="single" w:sz="4" w:space="0" w:color="auto"/>
              <w:left w:val="single" w:sz="4" w:space="0" w:color="auto"/>
              <w:bottom w:val="single" w:sz="4" w:space="0" w:color="auto"/>
              <w:right w:val="single" w:sz="4" w:space="0" w:color="auto"/>
            </w:tcBorders>
          </w:tcPr>
          <w:p w14:paraId="49788265" w14:textId="580CC8B0" w:rsidR="008B7EEC" w:rsidRDefault="008B7EEC" w:rsidP="008B7EEC">
            <w:r w:rsidRPr="008B761A">
              <w:t>£8</w:t>
            </w:r>
            <w:r w:rsidR="004C76E2">
              <w:t>7.50</w:t>
            </w:r>
          </w:p>
        </w:tc>
        <w:tc>
          <w:tcPr>
            <w:tcW w:w="1843" w:type="dxa"/>
          </w:tcPr>
          <w:p w14:paraId="0229CE09" w14:textId="2F10336D" w:rsidR="008B7EEC" w:rsidRDefault="008B7EEC" w:rsidP="008B7EEC">
            <w:r>
              <w:t>Apr 26</w:t>
            </w:r>
          </w:p>
        </w:tc>
        <w:tc>
          <w:tcPr>
            <w:tcW w:w="1843" w:type="dxa"/>
          </w:tcPr>
          <w:p w14:paraId="18D1E273" w14:textId="5BA5274B" w:rsidR="008B7EEC" w:rsidRDefault="008B7EEC" w:rsidP="008B7EEC">
            <w:r w:rsidRPr="007421A6">
              <w:t>£8</w:t>
            </w:r>
            <w:r w:rsidR="004C76E2">
              <w:t>7.50</w:t>
            </w:r>
            <w:r w:rsidRPr="007421A6">
              <w:t xml:space="preserve"> </w:t>
            </w:r>
          </w:p>
        </w:tc>
      </w:tr>
      <w:tr w:rsidR="008B7EEC" w14:paraId="55303252" w14:textId="756E0747" w:rsidTr="00D55DDC">
        <w:tc>
          <w:tcPr>
            <w:tcW w:w="1838" w:type="dxa"/>
            <w:tcBorders>
              <w:top w:val="single" w:sz="4" w:space="0" w:color="auto"/>
              <w:left w:val="single" w:sz="4" w:space="0" w:color="auto"/>
              <w:bottom w:val="single" w:sz="4" w:space="0" w:color="auto"/>
              <w:right w:val="single" w:sz="4" w:space="0" w:color="auto"/>
            </w:tcBorders>
          </w:tcPr>
          <w:p w14:paraId="40BEF76A" w14:textId="446A7F57" w:rsidR="008B7EEC" w:rsidRDefault="008B7EEC" w:rsidP="008B7EEC">
            <w:r>
              <w:t>Sept 25</w:t>
            </w:r>
          </w:p>
        </w:tc>
        <w:tc>
          <w:tcPr>
            <w:tcW w:w="1843" w:type="dxa"/>
            <w:tcBorders>
              <w:top w:val="single" w:sz="4" w:space="0" w:color="auto"/>
              <w:left w:val="single" w:sz="4" w:space="0" w:color="auto"/>
              <w:bottom w:val="single" w:sz="4" w:space="0" w:color="auto"/>
              <w:right w:val="single" w:sz="4" w:space="0" w:color="auto"/>
            </w:tcBorders>
          </w:tcPr>
          <w:p w14:paraId="79268102" w14:textId="4690565E" w:rsidR="008B7EEC" w:rsidRDefault="008B7EEC" w:rsidP="008B7EEC">
            <w:r w:rsidRPr="008B761A">
              <w:t>£8</w:t>
            </w:r>
            <w:r w:rsidR="004C76E2">
              <w:t>7.50</w:t>
            </w:r>
          </w:p>
        </w:tc>
        <w:tc>
          <w:tcPr>
            <w:tcW w:w="1843" w:type="dxa"/>
          </w:tcPr>
          <w:p w14:paraId="191A18D2" w14:textId="1A02661B" w:rsidR="008B7EEC" w:rsidRDefault="008B7EEC" w:rsidP="008B7EEC">
            <w:r>
              <w:t>May 26</w:t>
            </w:r>
          </w:p>
        </w:tc>
        <w:tc>
          <w:tcPr>
            <w:tcW w:w="1843" w:type="dxa"/>
          </w:tcPr>
          <w:p w14:paraId="1936E4AB" w14:textId="290F8C3D" w:rsidR="008B7EEC" w:rsidRDefault="008B7EEC" w:rsidP="008B7EEC">
            <w:r w:rsidRPr="007421A6">
              <w:t>£8</w:t>
            </w:r>
            <w:r w:rsidR="004C76E2">
              <w:t>7.50</w:t>
            </w:r>
            <w:r w:rsidRPr="007421A6">
              <w:t xml:space="preserve"> </w:t>
            </w:r>
          </w:p>
        </w:tc>
      </w:tr>
      <w:tr w:rsidR="008B7EEC" w14:paraId="37B37DDA" w14:textId="169E0C75" w:rsidTr="00D55DDC">
        <w:tc>
          <w:tcPr>
            <w:tcW w:w="1838" w:type="dxa"/>
            <w:tcBorders>
              <w:top w:val="single" w:sz="4" w:space="0" w:color="auto"/>
              <w:left w:val="single" w:sz="4" w:space="0" w:color="auto"/>
              <w:bottom w:val="single" w:sz="4" w:space="0" w:color="auto"/>
              <w:right w:val="single" w:sz="4" w:space="0" w:color="auto"/>
            </w:tcBorders>
          </w:tcPr>
          <w:p w14:paraId="350752B9" w14:textId="0C449061" w:rsidR="008B7EEC" w:rsidRDefault="008B7EEC" w:rsidP="008B7EEC">
            <w:r>
              <w:t>Oct 25</w:t>
            </w:r>
          </w:p>
        </w:tc>
        <w:tc>
          <w:tcPr>
            <w:tcW w:w="1843" w:type="dxa"/>
            <w:tcBorders>
              <w:top w:val="single" w:sz="4" w:space="0" w:color="auto"/>
              <w:left w:val="single" w:sz="4" w:space="0" w:color="auto"/>
              <w:bottom w:val="single" w:sz="4" w:space="0" w:color="auto"/>
              <w:right w:val="single" w:sz="4" w:space="0" w:color="auto"/>
            </w:tcBorders>
          </w:tcPr>
          <w:p w14:paraId="74FD625D" w14:textId="0F0B5792" w:rsidR="008B7EEC" w:rsidRDefault="008B7EEC" w:rsidP="008B7EEC">
            <w:r w:rsidRPr="008B761A">
              <w:t>£8</w:t>
            </w:r>
            <w:r w:rsidR="004C76E2">
              <w:t>7.50</w:t>
            </w:r>
          </w:p>
        </w:tc>
        <w:tc>
          <w:tcPr>
            <w:tcW w:w="1843" w:type="dxa"/>
          </w:tcPr>
          <w:p w14:paraId="485090DC" w14:textId="20D2798E" w:rsidR="008B7EEC" w:rsidRDefault="008B7EEC" w:rsidP="008B7EEC">
            <w:r>
              <w:t>Jun 26</w:t>
            </w:r>
          </w:p>
        </w:tc>
        <w:tc>
          <w:tcPr>
            <w:tcW w:w="1843" w:type="dxa"/>
          </w:tcPr>
          <w:p w14:paraId="55D23624" w14:textId="2EE71E2B" w:rsidR="008B7EEC" w:rsidRDefault="008B7EEC" w:rsidP="008B7EEC">
            <w:r w:rsidRPr="007421A6">
              <w:t>£8</w:t>
            </w:r>
            <w:r w:rsidR="004C76E2">
              <w:t>7.50</w:t>
            </w:r>
            <w:r w:rsidRPr="007421A6">
              <w:t xml:space="preserve"> </w:t>
            </w:r>
          </w:p>
        </w:tc>
      </w:tr>
      <w:tr w:rsidR="008B7EEC" w14:paraId="1FFF3E96" w14:textId="050B883E" w:rsidTr="00D55DDC">
        <w:tc>
          <w:tcPr>
            <w:tcW w:w="1838" w:type="dxa"/>
            <w:tcBorders>
              <w:top w:val="single" w:sz="4" w:space="0" w:color="auto"/>
              <w:left w:val="single" w:sz="4" w:space="0" w:color="auto"/>
              <w:bottom w:val="single" w:sz="4" w:space="0" w:color="auto"/>
              <w:right w:val="single" w:sz="4" w:space="0" w:color="auto"/>
            </w:tcBorders>
          </w:tcPr>
          <w:p w14:paraId="7BEFD59B" w14:textId="0BBEEA94" w:rsidR="008B7EEC" w:rsidRDefault="008B7EEC" w:rsidP="008B7EEC">
            <w:r>
              <w:t>Nov 25</w:t>
            </w:r>
          </w:p>
        </w:tc>
        <w:tc>
          <w:tcPr>
            <w:tcW w:w="1843" w:type="dxa"/>
            <w:tcBorders>
              <w:top w:val="single" w:sz="4" w:space="0" w:color="auto"/>
              <w:left w:val="single" w:sz="4" w:space="0" w:color="auto"/>
              <w:bottom w:val="single" w:sz="4" w:space="0" w:color="auto"/>
              <w:right w:val="single" w:sz="4" w:space="0" w:color="auto"/>
            </w:tcBorders>
          </w:tcPr>
          <w:p w14:paraId="3AE28B1A" w14:textId="0D3C0A4A" w:rsidR="008B7EEC" w:rsidRDefault="008B7EEC" w:rsidP="008B7EEC">
            <w:r w:rsidRPr="008B761A">
              <w:t>£8</w:t>
            </w:r>
            <w:r w:rsidR="004C76E2">
              <w:t>7.50</w:t>
            </w:r>
          </w:p>
        </w:tc>
        <w:tc>
          <w:tcPr>
            <w:tcW w:w="1843" w:type="dxa"/>
          </w:tcPr>
          <w:p w14:paraId="267673A3" w14:textId="2B86189C" w:rsidR="008B7EEC" w:rsidRDefault="008B7EEC" w:rsidP="008B7EEC">
            <w:r>
              <w:t>Jul 26</w:t>
            </w:r>
          </w:p>
        </w:tc>
        <w:tc>
          <w:tcPr>
            <w:tcW w:w="1843" w:type="dxa"/>
          </w:tcPr>
          <w:p w14:paraId="293F0823" w14:textId="6FAABD2B" w:rsidR="008B7EEC" w:rsidRDefault="008B7EEC" w:rsidP="008B7EEC">
            <w:r w:rsidRPr="007421A6">
              <w:t>£8</w:t>
            </w:r>
            <w:r w:rsidR="004C76E2">
              <w:t>7.50</w:t>
            </w:r>
            <w:r w:rsidRPr="007421A6">
              <w:t xml:space="preserve"> </w:t>
            </w:r>
          </w:p>
        </w:tc>
      </w:tr>
      <w:tr w:rsidR="008B7EEC" w14:paraId="2E2EBBD7" w14:textId="006E3E82" w:rsidTr="00D55DDC">
        <w:tc>
          <w:tcPr>
            <w:tcW w:w="1838" w:type="dxa"/>
            <w:tcBorders>
              <w:top w:val="single" w:sz="4" w:space="0" w:color="auto"/>
              <w:left w:val="single" w:sz="4" w:space="0" w:color="auto"/>
              <w:bottom w:val="single" w:sz="4" w:space="0" w:color="auto"/>
              <w:right w:val="single" w:sz="4" w:space="0" w:color="auto"/>
            </w:tcBorders>
          </w:tcPr>
          <w:p w14:paraId="1E10C7AD" w14:textId="400664EA" w:rsidR="008B7EEC" w:rsidRDefault="008B7EEC" w:rsidP="008B7EEC">
            <w:r>
              <w:t>Dec 25</w:t>
            </w:r>
          </w:p>
        </w:tc>
        <w:tc>
          <w:tcPr>
            <w:tcW w:w="1843" w:type="dxa"/>
            <w:tcBorders>
              <w:top w:val="single" w:sz="4" w:space="0" w:color="auto"/>
              <w:left w:val="single" w:sz="4" w:space="0" w:color="auto"/>
              <w:bottom w:val="single" w:sz="4" w:space="0" w:color="auto"/>
              <w:right w:val="single" w:sz="4" w:space="0" w:color="auto"/>
            </w:tcBorders>
          </w:tcPr>
          <w:p w14:paraId="04C900C2" w14:textId="75E669CE" w:rsidR="008B7EEC" w:rsidRDefault="008B7EEC" w:rsidP="008B7EEC">
            <w:r w:rsidRPr="008B761A">
              <w:t>£8</w:t>
            </w:r>
            <w:r w:rsidR="004C76E2">
              <w:t>7.50</w:t>
            </w:r>
            <w:r w:rsidRPr="008B761A">
              <w:t xml:space="preserve"> </w:t>
            </w:r>
          </w:p>
        </w:tc>
        <w:tc>
          <w:tcPr>
            <w:tcW w:w="1843" w:type="dxa"/>
          </w:tcPr>
          <w:p w14:paraId="2060B202" w14:textId="416E373A" w:rsidR="008B7EEC" w:rsidRDefault="008B7EEC" w:rsidP="008B7EEC">
            <w:r>
              <w:t>Aug 26</w:t>
            </w:r>
          </w:p>
        </w:tc>
        <w:tc>
          <w:tcPr>
            <w:tcW w:w="1843" w:type="dxa"/>
          </w:tcPr>
          <w:p w14:paraId="3899B3B8" w14:textId="4B3A787B" w:rsidR="008B7EEC" w:rsidRDefault="008B7EEC" w:rsidP="008B7EEC">
            <w:r w:rsidRPr="007421A6">
              <w:t>£8</w:t>
            </w:r>
            <w:r w:rsidR="004C76E2">
              <w:t>7.50</w:t>
            </w:r>
            <w:r w:rsidRPr="007421A6">
              <w:t xml:space="preserve"> </w:t>
            </w:r>
          </w:p>
        </w:tc>
      </w:tr>
    </w:tbl>
    <w:p w14:paraId="0924843B" w14:textId="77777777" w:rsidR="008B7EEC" w:rsidRDefault="008B7EEC" w:rsidP="00510A5A">
      <w:pPr>
        <w:jc w:val="both"/>
      </w:pPr>
    </w:p>
    <w:p w14:paraId="0F840948" w14:textId="551CAC3B" w:rsidR="004663C1" w:rsidRDefault="004663C1" w:rsidP="00510A5A">
      <w:pPr>
        <w:jc w:val="both"/>
      </w:pPr>
      <w:r>
        <w:t>We will contact you in early March to confirm whether your child has been allocated a place on the trip. At that time, we will be asking for the £75.00 deposit to secure your child’s place to be paid by 4</w:t>
      </w:r>
      <w:r w:rsidRPr="004663C1">
        <w:rPr>
          <w:vertAlign w:val="superscript"/>
        </w:rPr>
        <w:t>th</w:t>
      </w:r>
      <w:r>
        <w:t xml:space="preserve"> April 2025 via </w:t>
      </w:r>
      <w:proofErr w:type="spellStart"/>
      <w:r>
        <w:t>scopay</w:t>
      </w:r>
      <w:proofErr w:type="spellEnd"/>
      <w:r>
        <w:t xml:space="preserve"> and providing additional details about the trip.</w:t>
      </w:r>
    </w:p>
    <w:p w14:paraId="4DA008A3" w14:textId="77777777" w:rsidR="004663C1" w:rsidRDefault="004663C1" w:rsidP="00510A5A">
      <w:pPr>
        <w:jc w:val="both"/>
      </w:pPr>
    </w:p>
    <w:p w14:paraId="26F5FCB2" w14:textId="5764B5D1" w:rsidR="00510A5A" w:rsidRDefault="00510A5A" w:rsidP="00510A5A">
      <w:pPr>
        <w:jc w:val="both"/>
      </w:pPr>
      <w:r>
        <w:lastRenderedPageBreak/>
        <w:t>We are confident that this trip will provide a unique educational experience for your child, allowing them to explore iconic landmarks, delve into history, and immerse themselves in art and culture. It will undoubtedly broaden their horizons and create lifelong memories.</w:t>
      </w:r>
    </w:p>
    <w:p w14:paraId="0A4A0AAA" w14:textId="793077DE" w:rsidR="00510A5A" w:rsidRDefault="00314B52" w:rsidP="00510A5A">
      <w:pPr>
        <w:jc w:val="both"/>
      </w:pPr>
      <w:r>
        <w:t xml:space="preserve">As always good attendance and behaviour standards will be expected. </w:t>
      </w:r>
      <w:r w:rsidR="00510A5A">
        <w:t>If you have any questions or require further information, please do not hesitate to contact Mrs Franklin</w:t>
      </w:r>
      <w:r w:rsidR="004663C1">
        <w:t>.</w:t>
      </w:r>
      <w:r w:rsidR="00510A5A">
        <w:t xml:space="preserve"> </w:t>
      </w:r>
    </w:p>
    <w:p w14:paraId="545A1729" w14:textId="77777777" w:rsidR="00510A5A" w:rsidRDefault="00510A5A" w:rsidP="00510A5A">
      <w:pPr>
        <w:jc w:val="both"/>
      </w:pPr>
      <w:r>
        <w:t>Thank you for your ongoing support and for considering this exceptional opportunity for your child. We look forward to embarking on this exciting journey with them.</w:t>
      </w:r>
    </w:p>
    <w:p w14:paraId="1F37607B" w14:textId="77777777" w:rsidR="00510A5A" w:rsidRDefault="00510A5A" w:rsidP="00510A5A">
      <w:pPr>
        <w:jc w:val="both"/>
      </w:pPr>
    </w:p>
    <w:p w14:paraId="2A7D0755" w14:textId="77777777" w:rsidR="00510A5A" w:rsidRDefault="00510A5A" w:rsidP="00510A5A">
      <w:pPr>
        <w:jc w:val="both"/>
      </w:pPr>
      <w:r>
        <w:t>Yours sincerely,</w:t>
      </w:r>
    </w:p>
    <w:p w14:paraId="06445326" w14:textId="03E5805B" w:rsidR="007D2864" w:rsidRDefault="00510A5A" w:rsidP="00EB5982">
      <w:pPr>
        <w:jc w:val="both"/>
        <w:rPr>
          <w:b/>
          <w:bCs/>
        </w:rPr>
      </w:pPr>
      <w:r w:rsidRPr="00510A5A">
        <w:rPr>
          <w:b/>
          <w:bCs/>
        </w:rPr>
        <w:t>Mrs Kelly Franklin</w:t>
      </w:r>
      <w:r w:rsidR="007D2864">
        <w:rPr>
          <w:b/>
          <w:bCs/>
        </w:rPr>
        <w:tab/>
      </w:r>
      <w:r w:rsidR="007D2864">
        <w:rPr>
          <w:b/>
          <w:bCs/>
        </w:rPr>
        <w:tab/>
      </w:r>
      <w:r w:rsidR="007D2864">
        <w:rPr>
          <w:b/>
          <w:bCs/>
        </w:rPr>
        <w:tab/>
      </w:r>
      <w:r w:rsidR="007D2864">
        <w:rPr>
          <w:b/>
          <w:bCs/>
        </w:rPr>
        <w:tab/>
      </w:r>
      <w:r w:rsidR="007D2864">
        <w:rPr>
          <w:b/>
          <w:bCs/>
        </w:rPr>
        <w:tab/>
        <w:t xml:space="preserve">Mrs </w:t>
      </w:r>
      <w:r w:rsidR="005639CE">
        <w:rPr>
          <w:b/>
          <w:bCs/>
        </w:rPr>
        <w:t xml:space="preserve">Kirsty </w:t>
      </w:r>
      <w:r w:rsidR="007D2864">
        <w:rPr>
          <w:b/>
          <w:bCs/>
        </w:rPr>
        <w:t>Twigg</w:t>
      </w:r>
    </w:p>
    <w:p w14:paraId="185F31A6" w14:textId="5068AE8D" w:rsidR="00510A5A" w:rsidRPr="00510A5A" w:rsidRDefault="007D2864" w:rsidP="00EB5982">
      <w:pPr>
        <w:jc w:val="both"/>
        <w:rPr>
          <w:b/>
          <w:bCs/>
        </w:rPr>
      </w:pPr>
      <w:r>
        <w:rPr>
          <w:b/>
          <w:bCs/>
        </w:rPr>
        <w:t xml:space="preserve">Assistant Principal Inclusion   </w:t>
      </w:r>
      <w:r>
        <w:rPr>
          <w:b/>
          <w:bCs/>
        </w:rPr>
        <w:tab/>
      </w:r>
      <w:r>
        <w:rPr>
          <w:b/>
          <w:bCs/>
        </w:rPr>
        <w:tab/>
      </w:r>
      <w:r>
        <w:rPr>
          <w:b/>
          <w:bCs/>
        </w:rPr>
        <w:tab/>
      </w:r>
      <w:r>
        <w:rPr>
          <w:b/>
          <w:bCs/>
        </w:rPr>
        <w:tab/>
        <w:t xml:space="preserve">Director of Behaviour and Welfare </w:t>
      </w:r>
      <w:r>
        <w:rPr>
          <w:b/>
          <w:bCs/>
        </w:rPr>
        <w:tab/>
      </w:r>
      <w:r>
        <w:rPr>
          <w:b/>
          <w:bCs/>
        </w:rPr>
        <w:tab/>
      </w:r>
    </w:p>
    <w:p w14:paraId="05B57A2D" w14:textId="11E0B685" w:rsidR="00510A5A" w:rsidRPr="00510A5A" w:rsidRDefault="00510A5A" w:rsidP="00EB5982">
      <w:pPr>
        <w:jc w:val="both"/>
        <w:rPr>
          <w:b/>
          <w:bCs/>
        </w:rPr>
      </w:pPr>
      <w:r w:rsidRPr="00510A5A">
        <w:rPr>
          <w:b/>
          <w:bCs/>
        </w:rPr>
        <w:tab/>
      </w:r>
      <w:r w:rsidRPr="00510A5A">
        <w:rPr>
          <w:b/>
          <w:bCs/>
        </w:rPr>
        <w:tab/>
      </w:r>
      <w:r w:rsidRPr="00510A5A">
        <w:rPr>
          <w:b/>
          <w:bCs/>
        </w:rPr>
        <w:tab/>
      </w:r>
      <w:r w:rsidRPr="00510A5A">
        <w:rPr>
          <w:b/>
          <w:bCs/>
        </w:rPr>
        <w:tab/>
      </w:r>
      <w:r w:rsidR="007D2864">
        <w:rPr>
          <w:b/>
          <w:bCs/>
        </w:rPr>
        <w:tab/>
      </w:r>
      <w:r w:rsidR="007D2864">
        <w:rPr>
          <w:b/>
          <w:bCs/>
        </w:rPr>
        <w:tab/>
        <w:t xml:space="preserve">                 </w:t>
      </w:r>
    </w:p>
    <w:p w14:paraId="04A4A94C" w14:textId="77777777" w:rsidR="00510A5A" w:rsidRDefault="00510A5A" w:rsidP="00EB5982">
      <w:pPr>
        <w:jc w:val="both"/>
      </w:pPr>
    </w:p>
    <w:p w14:paraId="4700C8E5" w14:textId="77777777" w:rsidR="00B374AA" w:rsidRDefault="00B374AA" w:rsidP="005534A9">
      <w:pPr>
        <w:jc w:val="both"/>
        <w:rPr>
          <w:rFonts w:ascii="Calibri" w:hAnsi="Calibri" w:cs="Arial"/>
          <w:b/>
        </w:rPr>
      </w:pPr>
    </w:p>
    <w:p w14:paraId="14AC1876" w14:textId="3D4D7511" w:rsidR="00B374AA" w:rsidRDefault="00B374AA" w:rsidP="005534A9">
      <w:pPr>
        <w:jc w:val="both"/>
        <w:rPr>
          <w:rFonts w:ascii="Calibri" w:hAnsi="Calibri" w:cs="Arial"/>
          <w:b/>
        </w:rPr>
      </w:pPr>
    </w:p>
    <w:p w14:paraId="5F90EE48" w14:textId="56122994" w:rsidR="002C158F" w:rsidRDefault="002C158F" w:rsidP="005534A9">
      <w:pPr>
        <w:jc w:val="both"/>
        <w:rPr>
          <w:rFonts w:ascii="Calibri" w:hAnsi="Calibri" w:cs="Arial"/>
          <w:b/>
        </w:rPr>
      </w:pPr>
    </w:p>
    <w:p w14:paraId="11D20269" w14:textId="77777777" w:rsidR="002C158F" w:rsidRDefault="002C158F" w:rsidP="005534A9">
      <w:pPr>
        <w:jc w:val="both"/>
        <w:rPr>
          <w:rFonts w:ascii="Calibri" w:hAnsi="Calibri" w:cs="Arial"/>
          <w:b/>
        </w:rPr>
      </w:pPr>
    </w:p>
    <w:p w14:paraId="3D919DE3" w14:textId="77777777" w:rsidR="00C74947" w:rsidRPr="00C74947" w:rsidRDefault="00C74947" w:rsidP="00C74947">
      <w:pPr>
        <w:jc w:val="right"/>
        <w:rPr>
          <w:rFonts w:ascii="Calibri" w:eastAsia="Calibri" w:hAnsi="Calibri" w:cs="Arial"/>
        </w:rPr>
      </w:pPr>
    </w:p>
    <w:sectPr w:rsidR="00C74947" w:rsidRPr="00C74947" w:rsidSect="001A45EC">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AC80E" w14:textId="77777777" w:rsidR="00B40664" w:rsidRDefault="00B40664" w:rsidP="001A45EC">
      <w:pPr>
        <w:spacing w:after="0" w:line="240" w:lineRule="auto"/>
      </w:pPr>
      <w:r>
        <w:separator/>
      </w:r>
    </w:p>
  </w:endnote>
  <w:endnote w:type="continuationSeparator" w:id="0">
    <w:p w14:paraId="35A80EB3" w14:textId="77777777" w:rsidR="00B40664" w:rsidRDefault="00B40664" w:rsidP="001A4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FA45D" w14:textId="77777777" w:rsidR="00931A61" w:rsidRPr="001A45EC" w:rsidRDefault="00931A61" w:rsidP="001A45EC">
    <w:pPr>
      <w:pStyle w:val="Footer"/>
      <w:jc w:val="center"/>
      <w:rPr>
        <w:b/>
        <w:sz w:val="18"/>
      </w:rPr>
    </w:pPr>
    <w:r w:rsidRPr="001A45EC">
      <w:rPr>
        <w:b/>
        <w:sz w:val="18"/>
      </w:rPr>
      <w:t>Principal: Mr Mark Avoth</w:t>
    </w:r>
  </w:p>
  <w:p w14:paraId="57816C29" w14:textId="77777777" w:rsidR="00931A61" w:rsidRPr="001A45EC" w:rsidRDefault="00931A61" w:rsidP="001A45EC">
    <w:pPr>
      <w:pStyle w:val="Footer"/>
      <w:jc w:val="center"/>
      <w:rPr>
        <w:b/>
        <w:sz w:val="18"/>
      </w:rPr>
    </w:pPr>
    <w:r w:rsidRPr="001A45EC">
      <w:rPr>
        <w:b/>
        <w:sz w:val="18"/>
      </w:rPr>
      <w:t>The Bourne Academy, Hadow Road, Bournemouth, BH10 5HS     Tel. 01202 528554</w:t>
    </w:r>
  </w:p>
  <w:p w14:paraId="1B1F3BC9" w14:textId="77777777" w:rsidR="00931A61" w:rsidRPr="001A45EC" w:rsidRDefault="00931A61" w:rsidP="001A45EC">
    <w:pPr>
      <w:pStyle w:val="Footer"/>
      <w:jc w:val="center"/>
      <w:rPr>
        <w:color w:val="000000" w:themeColor="text1"/>
        <w:sz w:val="18"/>
      </w:rPr>
    </w:pPr>
    <w:hyperlink r:id="rId1" w:history="1">
      <w:r w:rsidRPr="001A45EC">
        <w:rPr>
          <w:rStyle w:val="Hyperlink"/>
          <w:color w:val="000000" w:themeColor="text1"/>
          <w:sz w:val="18"/>
        </w:rPr>
        <w:t>www.thebourneacademy.com</w:t>
      </w:r>
    </w:hyperlink>
    <w:r w:rsidRPr="001A45EC">
      <w:rPr>
        <w:color w:val="000000" w:themeColor="text1"/>
        <w:sz w:val="18"/>
      </w:rPr>
      <w:t xml:space="preserve">     </w:t>
    </w:r>
    <w:hyperlink r:id="rId2" w:history="1">
      <w:r w:rsidRPr="001A45EC">
        <w:rPr>
          <w:rStyle w:val="Hyperlink"/>
          <w:color w:val="000000" w:themeColor="text1"/>
          <w:sz w:val="18"/>
        </w:rPr>
        <w:t>admin@thebourneacademy.com</w:t>
      </w:r>
    </w:hyperlink>
  </w:p>
  <w:p w14:paraId="18454E29" w14:textId="77777777" w:rsidR="00931A61" w:rsidRPr="001A45EC" w:rsidRDefault="00931A61" w:rsidP="001A45EC">
    <w:pPr>
      <w:pStyle w:val="Footer"/>
      <w:jc w:val="center"/>
      <w:rPr>
        <w:sz w:val="16"/>
      </w:rPr>
    </w:pPr>
    <w:r w:rsidRPr="001A45EC">
      <w:rPr>
        <w:sz w:val="16"/>
      </w:rPr>
      <w:t>The Bourne Academy is a charitable company registered in England under Company no. 07148158</w:t>
    </w:r>
  </w:p>
  <w:p w14:paraId="35D440F4" w14:textId="77777777" w:rsidR="00931A61" w:rsidRPr="001A45EC" w:rsidRDefault="00931A61" w:rsidP="001A45EC">
    <w:pPr>
      <w:pStyle w:val="Footer"/>
      <w:jc w:val="center"/>
      <w:rPr>
        <w:sz w:val="16"/>
      </w:rPr>
    </w:pPr>
    <w:r w:rsidRPr="001A45EC">
      <w:rPr>
        <w:sz w:val="16"/>
      </w:rPr>
      <w:t>Registered office: Hadow Road, Bournemouth, Dorset, BH10 5HS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476F8" w14:textId="77777777" w:rsidR="00931A61" w:rsidRPr="001A45EC" w:rsidRDefault="00931A61" w:rsidP="001A45EC">
    <w:pPr>
      <w:pStyle w:val="Footer"/>
      <w:jc w:val="center"/>
      <w:rPr>
        <w:b/>
        <w:sz w:val="18"/>
      </w:rPr>
    </w:pPr>
    <w:r w:rsidRPr="001A45EC">
      <w:rPr>
        <w:b/>
        <w:sz w:val="18"/>
      </w:rPr>
      <w:t>Principal: Mr Mark Avoth</w:t>
    </w:r>
  </w:p>
  <w:p w14:paraId="43D4B653" w14:textId="77777777" w:rsidR="00931A61" w:rsidRDefault="00931A61" w:rsidP="001A45EC">
    <w:pPr>
      <w:pStyle w:val="Footer"/>
      <w:jc w:val="center"/>
      <w:rPr>
        <w:b/>
        <w:sz w:val="18"/>
      </w:rPr>
    </w:pPr>
    <w:r w:rsidRPr="001A45EC">
      <w:rPr>
        <w:b/>
        <w:sz w:val="18"/>
      </w:rPr>
      <w:t>The Bourne Academy, Hadow Road, Bournemouth,</w:t>
    </w:r>
    <w:r>
      <w:rPr>
        <w:b/>
        <w:sz w:val="18"/>
      </w:rPr>
      <w:t xml:space="preserve"> BH10 5HS   </w:t>
    </w:r>
    <w:proofErr w:type="gramStart"/>
    <w:r>
      <w:rPr>
        <w:b/>
        <w:sz w:val="18"/>
      </w:rPr>
      <w:t>|  Tel.</w:t>
    </w:r>
    <w:proofErr w:type="gramEnd"/>
    <w:r>
      <w:rPr>
        <w:b/>
        <w:sz w:val="18"/>
      </w:rPr>
      <w:t xml:space="preserve"> 01202 528554  |</w:t>
    </w:r>
    <w:r w:rsidRPr="00FB3F84">
      <w:rPr>
        <w:b/>
        <w:sz w:val="18"/>
      </w:rPr>
      <w:t xml:space="preserve">  </w:t>
    </w:r>
    <w:hyperlink r:id="rId1" w:history="1">
      <w:r w:rsidRPr="00FB3F84">
        <w:rPr>
          <w:rStyle w:val="Hyperlink"/>
          <w:b/>
          <w:color w:val="auto"/>
          <w:sz w:val="18"/>
        </w:rPr>
        <w:t>admin@thebourneacademy.com</w:t>
      </w:r>
    </w:hyperlink>
  </w:p>
  <w:p w14:paraId="52636AC3" w14:textId="77777777" w:rsidR="00931A61" w:rsidRPr="00FB3F84" w:rsidRDefault="00931A61" w:rsidP="001A45EC">
    <w:pPr>
      <w:pStyle w:val="Footer"/>
      <w:jc w:val="center"/>
      <w:rPr>
        <w:b/>
        <w:sz w:val="8"/>
      </w:rPr>
    </w:pPr>
  </w:p>
  <w:p w14:paraId="4B03A829" w14:textId="77777777" w:rsidR="00931A61" w:rsidRPr="00FB3F84" w:rsidRDefault="00931A61" w:rsidP="001A45EC">
    <w:pPr>
      <w:pStyle w:val="Footer"/>
      <w:jc w:val="center"/>
      <w:rPr>
        <w:b/>
        <w:color w:val="000000" w:themeColor="text1"/>
        <w:sz w:val="18"/>
      </w:rPr>
    </w:pPr>
    <w:r w:rsidRPr="00FB3F84">
      <w:rPr>
        <w:b/>
        <w:noProof/>
        <w:sz w:val="16"/>
        <w:lang w:eastAsia="en-GB"/>
      </w:rPr>
      <w:drawing>
        <wp:anchor distT="0" distB="0" distL="114300" distR="114300" simplePos="0" relativeHeight="251661312" behindDoc="0" locked="0" layoutInCell="1" allowOverlap="1" wp14:anchorId="2195794B" wp14:editId="7E5AE93D">
          <wp:simplePos x="0" y="0"/>
          <wp:positionH relativeFrom="column">
            <wp:posOffset>3158490</wp:posOffset>
          </wp:positionH>
          <wp:positionV relativeFrom="paragraph">
            <wp:posOffset>9525</wp:posOffset>
          </wp:positionV>
          <wp:extent cx="175895" cy="143510"/>
          <wp:effectExtent l="0" t="0" r="0" b="8890"/>
          <wp:wrapSquare wrapText="bothSides"/>
          <wp:docPr id="1" name="Picture 1" descr="S:\Admin FG\Marketing &amp; Communications\Logos\Twitter_logo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 FG\Marketing &amp; Communications\Logos\Twitter_logo_blu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5895"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3F84">
      <w:rPr>
        <w:b/>
        <w:noProof/>
        <w:sz w:val="16"/>
        <w:lang w:eastAsia="en-GB"/>
      </w:rPr>
      <w:t xml:space="preserve"> </w:t>
    </w:r>
    <w:hyperlink r:id="rId3" w:history="1">
      <w:r w:rsidRPr="00FB3F84">
        <w:rPr>
          <w:rStyle w:val="Hyperlink"/>
          <w:b/>
          <w:color w:val="000000" w:themeColor="text1"/>
          <w:sz w:val="18"/>
        </w:rPr>
        <w:t>www.thebourneacademy.com</w:t>
      </w:r>
    </w:hyperlink>
    <w:r w:rsidRPr="00FB3F84">
      <w:rPr>
        <w:rStyle w:val="Hyperlink"/>
        <w:b/>
        <w:color w:val="000000" w:themeColor="text1"/>
        <w:sz w:val="18"/>
      </w:rPr>
      <w:t xml:space="preserve"> </w:t>
    </w:r>
    <w:r w:rsidRPr="00FB3F84">
      <w:rPr>
        <w:b/>
        <w:color w:val="000000" w:themeColor="text1"/>
        <w:sz w:val="18"/>
      </w:rPr>
      <w:t xml:space="preserve">   |              @BourneAcademy</w:t>
    </w:r>
  </w:p>
  <w:p w14:paraId="66570742" w14:textId="77777777" w:rsidR="00931A61" w:rsidRPr="00FB3F84" w:rsidRDefault="00931A61" w:rsidP="001A45EC">
    <w:pPr>
      <w:pStyle w:val="Footer"/>
      <w:jc w:val="center"/>
      <w:rPr>
        <w:color w:val="000000" w:themeColor="text1"/>
        <w:sz w:val="8"/>
      </w:rPr>
    </w:pPr>
  </w:p>
  <w:p w14:paraId="33BE4B11" w14:textId="77777777" w:rsidR="00931A61" w:rsidRPr="001A45EC" w:rsidRDefault="00931A61" w:rsidP="001A45EC">
    <w:pPr>
      <w:pStyle w:val="Footer"/>
      <w:jc w:val="center"/>
      <w:rPr>
        <w:sz w:val="16"/>
      </w:rPr>
    </w:pPr>
    <w:r w:rsidRPr="001A45EC">
      <w:rPr>
        <w:sz w:val="16"/>
      </w:rPr>
      <w:t>The Bourne Academy is a charitable company registered in England under Company no. 07148158</w:t>
    </w:r>
  </w:p>
  <w:p w14:paraId="265287B8" w14:textId="77777777" w:rsidR="00931A61" w:rsidRPr="001A45EC" w:rsidRDefault="00931A61" w:rsidP="001A45EC">
    <w:pPr>
      <w:pStyle w:val="Footer"/>
      <w:jc w:val="center"/>
      <w:rPr>
        <w:sz w:val="16"/>
      </w:rPr>
    </w:pPr>
    <w:r w:rsidRPr="001A45EC">
      <w:rPr>
        <w:sz w:val="16"/>
      </w:rPr>
      <w:t>Registered office: Hadow Road, Bournemouth, Dorset, BH10 5HS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94506" w14:textId="77777777" w:rsidR="00B40664" w:rsidRDefault="00B40664" w:rsidP="001A45EC">
      <w:pPr>
        <w:spacing w:after="0" w:line="240" w:lineRule="auto"/>
      </w:pPr>
      <w:r>
        <w:separator/>
      </w:r>
    </w:p>
  </w:footnote>
  <w:footnote w:type="continuationSeparator" w:id="0">
    <w:p w14:paraId="2B75B350" w14:textId="77777777" w:rsidR="00B40664" w:rsidRDefault="00B40664" w:rsidP="001A4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25697" w14:textId="77777777" w:rsidR="00931A61" w:rsidRDefault="00931A61" w:rsidP="001A45EC">
    <w:pPr>
      <w:pStyle w:val="Header"/>
    </w:pPr>
  </w:p>
  <w:p w14:paraId="17B096AE" w14:textId="77777777" w:rsidR="00931A61" w:rsidRDefault="00931A61" w:rsidP="001A45EC">
    <w:pPr>
      <w:pStyle w:val="Header"/>
    </w:pPr>
  </w:p>
  <w:p w14:paraId="6C91510C" w14:textId="77777777" w:rsidR="00931A61" w:rsidRDefault="00931A61" w:rsidP="001A45EC">
    <w:pPr>
      <w:pStyle w:val="Header"/>
    </w:pPr>
  </w:p>
  <w:p w14:paraId="1DDF3046" w14:textId="77777777" w:rsidR="00931A61" w:rsidRPr="001A45EC" w:rsidRDefault="00931A61" w:rsidP="001A4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0AD5A" w14:textId="77777777" w:rsidR="00931A61" w:rsidRDefault="00931A61">
    <w:pPr>
      <w:pStyle w:val="Header"/>
    </w:pPr>
    <w:r w:rsidRPr="001A45EC">
      <w:rPr>
        <w:b/>
        <w:noProof/>
        <w:lang w:eastAsia="en-GB"/>
      </w:rPr>
      <w:drawing>
        <wp:anchor distT="0" distB="0" distL="114300" distR="114300" simplePos="0" relativeHeight="251660288" behindDoc="0" locked="0" layoutInCell="1" allowOverlap="1" wp14:anchorId="4F731565" wp14:editId="0D08B1B1">
          <wp:simplePos x="0" y="0"/>
          <wp:positionH relativeFrom="margin">
            <wp:align>center</wp:align>
          </wp:positionH>
          <wp:positionV relativeFrom="paragraph">
            <wp:posOffset>-449368</wp:posOffset>
          </wp:positionV>
          <wp:extent cx="2171700" cy="1120140"/>
          <wp:effectExtent l="0" t="0" r="0" b="0"/>
          <wp:wrapNone/>
          <wp:docPr id="5" name="Picture 5" descr="transparentblack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arentblack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1120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C70DBF" w14:textId="77777777" w:rsidR="00931A61" w:rsidRDefault="00931A61">
    <w:pPr>
      <w:pStyle w:val="Header"/>
    </w:pPr>
  </w:p>
  <w:p w14:paraId="406706C5" w14:textId="77777777" w:rsidR="00931A61" w:rsidRDefault="00931A61">
    <w:pPr>
      <w:pStyle w:val="Header"/>
    </w:pPr>
  </w:p>
  <w:p w14:paraId="4B7B77C0" w14:textId="77777777" w:rsidR="00931A61" w:rsidRDefault="00931A61">
    <w:pPr>
      <w:pStyle w:val="Header"/>
    </w:pPr>
  </w:p>
  <w:p w14:paraId="5AADE5D4" w14:textId="77777777" w:rsidR="00931A61" w:rsidRDefault="00931A61">
    <w:pPr>
      <w:pStyle w:val="Header"/>
    </w:pPr>
  </w:p>
  <w:p w14:paraId="5C56D121" w14:textId="77777777" w:rsidR="00931A61" w:rsidRDefault="00931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5732B"/>
    <w:multiLevelType w:val="hybridMultilevel"/>
    <w:tmpl w:val="8208E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3D0932"/>
    <w:multiLevelType w:val="hybridMultilevel"/>
    <w:tmpl w:val="C218911C"/>
    <w:lvl w:ilvl="0" w:tplc="FF50421C">
      <w:start w:val="1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3771904">
    <w:abstractNumId w:val="1"/>
  </w:num>
  <w:num w:numId="2" w16cid:durableId="73355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84"/>
    <w:rsid w:val="00002421"/>
    <w:rsid w:val="000029EA"/>
    <w:rsid w:val="00041074"/>
    <w:rsid w:val="0005595A"/>
    <w:rsid w:val="000C7B80"/>
    <w:rsid w:val="000D05C7"/>
    <w:rsid w:val="0015112C"/>
    <w:rsid w:val="00192ADB"/>
    <w:rsid w:val="00193E0E"/>
    <w:rsid w:val="001A45EC"/>
    <w:rsid w:val="001B6F9D"/>
    <w:rsid w:val="001C7A60"/>
    <w:rsid w:val="00227A67"/>
    <w:rsid w:val="0024333D"/>
    <w:rsid w:val="002C158F"/>
    <w:rsid w:val="002C6FB5"/>
    <w:rsid w:val="00300F89"/>
    <w:rsid w:val="00314B52"/>
    <w:rsid w:val="003A3F2B"/>
    <w:rsid w:val="003C6150"/>
    <w:rsid w:val="0041314C"/>
    <w:rsid w:val="00431762"/>
    <w:rsid w:val="004663C1"/>
    <w:rsid w:val="00483E4E"/>
    <w:rsid w:val="00492FE7"/>
    <w:rsid w:val="004B1B52"/>
    <w:rsid w:val="004B3328"/>
    <w:rsid w:val="004C76E2"/>
    <w:rsid w:val="00510A5A"/>
    <w:rsid w:val="005308B3"/>
    <w:rsid w:val="005534A9"/>
    <w:rsid w:val="005639CE"/>
    <w:rsid w:val="0059346F"/>
    <w:rsid w:val="00597E45"/>
    <w:rsid w:val="005F2039"/>
    <w:rsid w:val="0061151D"/>
    <w:rsid w:val="0062785C"/>
    <w:rsid w:val="0065582B"/>
    <w:rsid w:val="0066716E"/>
    <w:rsid w:val="0068161C"/>
    <w:rsid w:val="00691E40"/>
    <w:rsid w:val="006A0777"/>
    <w:rsid w:val="006E7264"/>
    <w:rsid w:val="007D2864"/>
    <w:rsid w:val="007E21C6"/>
    <w:rsid w:val="00800B76"/>
    <w:rsid w:val="00825584"/>
    <w:rsid w:val="00852947"/>
    <w:rsid w:val="00877ABD"/>
    <w:rsid w:val="00891857"/>
    <w:rsid w:val="008B7EEC"/>
    <w:rsid w:val="008F4E18"/>
    <w:rsid w:val="00910509"/>
    <w:rsid w:val="00931A61"/>
    <w:rsid w:val="009D04C6"/>
    <w:rsid w:val="009D6E7F"/>
    <w:rsid w:val="00A15914"/>
    <w:rsid w:val="00A22F0E"/>
    <w:rsid w:val="00A64331"/>
    <w:rsid w:val="00A864F9"/>
    <w:rsid w:val="00A87D99"/>
    <w:rsid w:val="00AB2725"/>
    <w:rsid w:val="00AE6A35"/>
    <w:rsid w:val="00AF13CB"/>
    <w:rsid w:val="00B1423F"/>
    <w:rsid w:val="00B230D0"/>
    <w:rsid w:val="00B31EFB"/>
    <w:rsid w:val="00B32CCE"/>
    <w:rsid w:val="00B374AA"/>
    <w:rsid w:val="00B40664"/>
    <w:rsid w:val="00B80070"/>
    <w:rsid w:val="00B86B8E"/>
    <w:rsid w:val="00BC6CDD"/>
    <w:rsid w:val="00C74947"/>
    <w:rsid w:val="00CB092A"/>
    <w:rsid w:val="00D463D2"/>
    <w:rsid w:val="00D904AC"/>
    <w:rsid w:val="00DA06A4"/>
    <w:rsid w:val="00DA49BC"/>
    <w:rsid w:val="00DB1A2A"/>
    <w:rsid w:val="00DE1535"/>
    <w:rsid w:val="00E66B0F"/>
    <w:rsid w:val="00E86F4A"/>
    <w:rsid w:val="00EB5982"/>
    <w:rsid w:val="00F5553C"/>
    <w:rsid w:val="00F6308C"/>
    <w:rsid w:val="00FB3F84"/>
    <w:rsid w:val="00FD2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0F110"/>
  <w15:docId w15:val="{67D77760-5AC0-4626-98BC-BF7C0A4EC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5EC"/>
  </w:style>
  <w:style w:type="paragraph" w:styleId="Footer">
    <w:name w:val="footer"/>
    <w:basedOn w:val="Normal"/>
    <w:link w:val="FooterChar"/>
    <w:uiPriority w:val="99"/>
    <w:unhideWhenUsed/>
    <w:rsid w:val="001A4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5EC"/>
  </w:style>
  <w:style w:type="character" w:styleId="Hyperlink">
    <w:name w:val="Hyperlink"/>
    <w:basedOn w:val="DefaultParagraphFont"/>
    <w:uiPriority w:val="99"/>
    <w:unhideWhenUsed/>
    <w:rsid w:val="001A45EC"/>
    <w:rPr>
      <w:color w:val="0563C1" w:themeColor="hyperlink"/>
      <w:u w:val="single"/>
    </w:rPr>
  </w:style>
  <w:style w:type="paragraph" w:styleId="BalloonText">
    <w:name w:val="Balloon Text"/>
    <w:basedOn w:val="Normal"/>
    <w:link w:val="BalloonTextChar"/>
    <w:uiPriority w:val="99"/>
    <w:semiHidden/>
    <w:unhideWhenUsed/>
    <w:rsid w:val="00FB3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F84"/>
    <w:rPr>
      <w:rFonts w:ascii="Tahoma" w:hAnsi="Tahoma" w:cs="Tahoma"/>
      <w:sz w:val="16"/>
      <w:szCs w:val="16"/>
    </w:rPr>
  </w:style>
  <w:style w:type="table" w:styleId="TableGrid">
    <w:name w:val="Table Grid"/>
    <w:basedOn w:val="TableNormal"/>
    <w:uiPriority w:val="39"/>
    <w:rsid w:val="00A15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6A35"/>
    <w:pPr>
      <w:ind w:left="720"/>
      <w:contextualSpacing/>
    </w:pPr>
  </w:style>
  <w:style w:type="paragraph" w:styleId="NoSpacing">
    <w:name w:val="No Spacing"/>
    <w:uiPriority w:val="1"/>
    <w:qFormat/>
    <w:rsid w:val="005534A9"/>
    <w:pPr>
      <w:spacing w:after="0" w:line="240" w:lineRule="auto"/>
    </w:pPr>
  </w:style>
  <w:style w:type="character" w:styleId="UnresolvedMention">
    <w:name w:val="Unresolved Mention"/>
    <w:basedOn w:val="DefaultParagraphFont"/>
    <w:uiPriority w:val="99"/>
    <w:semiHidden/>
    <w:unhideWhenUsed/>
    <w:rsid w:val="008F4E18"/>
    <w:rPr>
      <w:color w:val="605E5C"/>
      <w:shd w:val="clear" w:color="auto" w:fill="E1DFDD"/>
    </w:rPr>
  </w:style>
  <w:style w:type="paragraph" w:styleId="NormalWeb">
    <w:name w:val="Normal (Web)"/>
    <w:basedOn w:val="Normal"/>
    <w:uiPriority w:val="99"/>
    <w:semiHidden/>
    <w:unhideWhenUsed/>
    <w:rsid w:val="00510A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B1A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08644">
      <w:bodyDiv w:val="1"/>
      <w:marLeft w:val="0"/>
      <w:marRight w:val="0"/>
      <w:marTop w:val="0"/>
      <w:marBottom w:val="0"/>
      <w:divBdr>
        <w:top w:val="none" w:sz="0" w:space="0" w:color="auto"/>
        <w:left w:val="none" w:sz="0" w:space="0" w:color="auto"/>
        <w:bottom w:val="none" w:sz="0" w:space="0" w:color="auto"/>
        <w:right w:val="none" w:sz="0" w:space="0" w:color="auto"/>
      </w:divBdr>
    </w:div>
    <w:div w:id="164593475">
      <w:bodyDiv w:val="1"/>
      <w:marLeft w:val="0"/>
      <w:marRight w:val="0"/>
      <w:marTop w:val="0"/>
      <w:marBottom w:val="0"/>
      <w:divBdr>
        <w:top w:val="none" w:sz="0" w:space="0" w:color="auto"/>
        <w:left w:val="none" w:sz="0" w:space="0" w:color="auto"/>
        <w:bottom w:val="none" w:sz="0" w:space="0" w:color="auto"/>
        <w:right w:val="none" w:sz="0" w:space="0" w:color="auto"/>
      </w:divBdr>
    </w:div>
    <w:div w:id="1115445849">
      <w:bodyDiv w:val="1"/>
      <w:marLeft w:val="0"/>
      <w:marRight w:val="0"/>
      <w:marTop w:val="0"/>
      <w:marBottom w:val="0"/>
      <w:divBdr>
        <w:top w:val="none" w:sz="0" w:space="0" w:color="auto"/>
        <w:left w:val="none" w:sz="0" w:space="0" w:color="auto"/>
        <w:bottom w:val="none" w:sz="0" w:space="0" w:color="auto"/>
        <w:right w:val="none" w:sz="0" w:space="0" w:color="auto"/>
      </w:divBdr>
    </w:div>
    <w:div w:id="1508442611">
      <w:bodyDiv w:val="1"/>
      <w:marLeft w:val="0"/>
      <w:marRight w:val="0"/>
      <w:marTop w:val="0"/>
      <w:marBottom w:val="0"/>
      <w:divBdr>
        <w:top w:val="none" w:sz="0" w:space="0" w:color="auto"/>
        <w:left w:val="none" w:sz="0" w:space="0" w:color="auto"/>
        <w:bottom w:val="none" w:sz="0" w:space="0" w:color="auto"/>
        <w:right w:val="none" w:sz="0" w:space="0" w:color="auto"/>
      </w:divBdr>
    </w:div>
    <w:div w:id="151861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u5-pXrtiNUCg5hbUQrnYWQeg8JNC2DBOn4Th33SZY5NUNTdRT1I1UkI2UThaMTY0VTlDMjRETkhJVi4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admin@thebourneacademy.com" TargetMode="External"/><Relationship Id="rId1" Type="http://schemas.openxmlformats.org/officeDocument/2006/relationships/hyperlink" Target="http://www.thebourneacademy.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hebourneacademy.com" TargetMode="External"/><Relationship Id="rId2" Type="http://schemas.openxmlformats.org/officeDocument/2006/relationships/image" Target="media/image2.png"/><Relationship Id="rId1" Type="http://schemas.openxmlformats.org/officeDocument/2006/relationships/hyperlink" Target="mailto:admin@thebourneacademy.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068CB-319A-4E19-A30A-FEA3763BD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TBA Letter Template</vt:lpstr>
    </vt:vector>
  </TitlesOfParts>
  <Company>The Bourne Academy</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TBA Letter Template</dc:title>
  <dc:creator>Della Dawson</dc:creator>
  <cp:lastModifiedBy>Catherine Turner</cp:lastModifiedBy>
  <cp:revision>2</cp:revision>
  <dcterms:created xsi:type="dcterms:W3CDTF">2025-01-22T09:03:00Z</dcterms:created>
  <dcterms:modified xsi:type="dcterms:W3CDTF">2025-01-22T09:03:00Z</dcterms:modified>
</cp:coreProperties>
</file>