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A5694" w14:textId="475648E6" w:rsidR="0078295B" w:rsidRDefault="0078295B">
      <w:pPr>
        <w:rPr>
          <w:b/>
          <w:bCs/>
          <w:u w:val="single"/>
        </w:rPr>
      </w:pPr>
      <w:r w:rsidRPr="0078295B">
        <w:rPr>
          <w:b/>
          <w:bCs/>
          <w:u w:val="single"/>
        </w:rPr>
        <w:t>KS4 Results</w:t>
      </w:r>
      <w:r>
        <w:rPr>
          <w:b/>
          <w:bCs/>
          <w:u w:val="single"/>
        </w:rPr>
        <w:t xml:space="preserve"> </w:t>
      </w:r>
      <w:r w:rsidR="001B06C4">
        <w:rPr>
          <w:b/>
          <w:bCs/>
          <w:u w:val="single"/>
        </w:rPr>
        <w:t>2024/25</w:t>
      </w:r>
    </w:p>
    <w:p w14:paraId="7B9B0D94" w14:textId="67479263" w:rsidR="0078295B" w:rsidRDefault="00F55C96">
      <w:pPr>
        <w:rPr>
          <w:b/>
          <w:bCs/>
        </w:rPr>
      </w:pPr>
      <w:r>
        <w:rPr>
          <w:b/>
          <w:bCs/>
        </w:rPr>
        <w:t xml:space="preserve">Performance measures for The Bourne Academy for the academic year </w:t>
      </w:r>
      <w:r w:rsidR="001B06C4">
        <w:rPr>
          <w:b/>
          <w:bCs/>
        </w:rPr>
        <w:t>2024/2025</w:t>
      </w:r>
      <w:r>
        <w:rPr>
          <w:b/>
          <w:bCs/>
        </w:rPr>
        <w:t xml:space="preserve"> can be found below. Additional measures can be found on the </w:t>
      </w:r>
      <w:hyperlink r:id="rId4" w:history="1">
        <w:r>
          <w:rPr>
            <w:rStyle w:val="Hyperlink"/>
          </w:rPr>
          <w:t>compare school performance</w:t>
        </w:r>
      </w:hyperlink>
      <w:r>
        <w:t xml:space="preserve"> </w:t>
      </w:r>
      <w:r w:rsidRPr="00F55C96">
        <w:rPr>
          <w:b/>
          <w:bCs/>
        </w:rPr>
        <w:t>webpage</w:t>
      </w:r>
      <w:r>
        <w:rPr>
          <w:b/>
          <w:bCs/>
        </w:rPr>
        <w:t xml:space="preserve">. </w:t>
      </w:r>
      <w:r w:rsidR="001B06C4">
        <w:rPr>
          <w:b/>
          <w:bCs/>
        </w:rPr>
        <w:t>This information remains provisional until data is released by the Government and may be subject to change until final publication In January.</w:t>
      </w:r>
    </w:p>
    <w:p w14:paraId="2FF42931" w14:textId="3DF5A80F" w:rsidR="00F55C96" w:rsidRPr="00F55C96" w:rsidRDefault="00F55C96">
      <w:pPr>
        <w:rPr>
          <w:i/>
          <w:iCs/>
        </w:rPr>
      </w:pPr>
      <w:r>
        <w:rPr>
          <w:i/>
          <w:iCs/>
        </w:rPr>
        <w:t>Please be aware that the Government has advised direct comparisons should not be made between the performance of one school or college and another, or to data from previous years, due to the uneven impact of the pandemic on school and college performance data.</w:t>
      </w:r>
    </w:p>
    <w:tbl>
      <w:tblPr>
        <w:tblStyle w:val="TableGrid"/>
        <w:tblW w:w="0" w:type="auto"/>
        <w:tblLook w:val="04A0" w:firstRow="1" w:lastRow="0" w:firstColumn="1" w:lastColumn="0" w:noHBand="0" w:noVBand="1"/>
      </w:tblPr>
      <w:tblGrid>
        <w:gridCol w:w="6091"/>
        <w:gridCol w:w="2925"/>
      </w:tblGrid>
      <w:tr w:rsidR="0078295B" w14:paraId="4775D629" w14:textId="77777777" w:rsidTr="0078295B">
        <w:tc>
          <w:tcPr>
            <w:tcW w:w="6091" w:type="dxa"/>
          </w:tcPr>
          <w:p w14:paraId="298980AA" w14:textId="6E59FF34" w:rsidR="0078295B" w:rsidRPr="0078295B" w:rsidRDefault="0078295B" w:rsidP="0078295B">
            <w:pPr>
              <w:jc w:val="center"/>
              <w:rPr>
                <w:b/>
                <w:bCs/>
              </w:rPr>
            </w:pPr>
            <w:r w:rsidRPr="0078295B">
              <w:rPr>
                <w:b/>
                <w:bCs/>
              </w:rPr>
              <w:t>Performance Measure</w:t>
            </w:r>
          </w:p>
        </w:tc>
        <w:tc>
          <w:tcPr>
            <w:tcW w:w="2925" w:type="dxa"/>
          </w:tcPr>
          <w:p w14:paraId="1B19CA62" w14:textId="01F041C9" w:rsidR="0078295B" w:rsidRPr="0078295B" w:rsidRDefault="0078295B" w:rsidP="0078295B">
            <w:pPr>
              <w:jc w:val="center"/>
              <w:rPr>
                <w:b/>
                <w:bCs/>
              </w:rPr>
            </w:pPr>
            <w:r>
              <w:rPr>
                <w:b/>
                <w:bCs/>
              </w:rPr>
              <w:t>Number/ Percentage</w:t>
            </w:r>
          </w:p>
        </w:tc>
      </w:tr>
      <w:tr w:rsidR="0078295B" w14:paraId="11D5358E" w14:textId="77777777" w:rsidTr="0078295B">
        <w:tc>
          <w:tcPr>
            <w:tcW w:w="6091" w:type="dxa"/>
          </w:tcPr>
          <w:p w14:paraId="2A0AFCB5" w14:textId="77777777" w:rsidR="0078295B" w:rsidRDefault="0078295B" w:rsidP="0078295B"/>
          <w:p w14:paraId="090BD840" w14:textId="77777777" w:rsidR="0078295B" w:rsidRDefault="0078295B" w:rsidP="0078295B">
            <w:r w:rsidRPr="0078295B">
              <w:t xml:space="preserve">Number of pupils on roll at the end of </w:t>
            </w:r>
            <w:r>
              <w:t>Key Stage 4</w:t>
            </w:r>
          </w:p>
          <w:p w14:paraId="10523978" w14:textId="161B2299" w:rsidR="0078295B" w:rsidRPr="0078295B" w:rsidRDefault="0078295B" w:rsidP="0078295B"/>
        </w:tc>
        <w:tc>
          <w:tcPr>
            <w:tcW w:w="2925" w:type="dxa"/>
          </w:tcPr>
          <w:p w14:paraId="0B8ABB52" w14:textId="77777777" w:rsidR="0078295B" w:rsidRDefault="0078295B" w:rsidP="0078295B">
            <w:pPr>
              <w:jc w:val="center"/>
            </w:pPr>
          </w:p>
          <w:p w14:paraId="3D737827" w14:textId="210C3FC3" w:rsidR="0078295B" w:rsidRPr="0078295B" w:rsidRDefault="0078295B" w:rsidP="0078295B">
            <w:pPr>
              <w:jc w:val="center"/>
            </w:pPr>
            <w:r w:rsidRPr="0078295B">
              <w:t>1</w:t>
            </w:r>
            <w:r w:rsidR="001B06C4">
              <w:t>57</w:t>
            </w:r>
          </w:p>
        </w:tc>
      </w:tr>
      <w:tr w:rsidR="0078295B" w14:paraId="0CE5233A" w14:textId="77777777" w:rsidTr="0078295B">
        <w:tc>
          <w:tcPr>
            <w:tcW w:w="6091" w:type="dxa"/>
          </w:tcPr>
          <w:p w14:paraId="4180E80E" w14:textId="77777777" w:rsidR="0078295B" w:rsidRDefault="0078295B" w:rsidP="0078295B"/>
          <w:p w14:paraId="3CF53056" w14:textId="45DD9361" w:rsidR="0078295B" w:rsidRDefault="0078295B" w:rsidP="0078295B">
            <w:r>
              <w:t xml:space="preserve">Progress 8 </w:t>
            </w:r>
            <w:r w:rsidR="003123DC">
              <w:t>s</w:t>
            </w:r>
            <w:r>
              <w:t>core</w:t>
            </w:r>
          </w:p>
          <w:p w14:paraId="0EA5C474" w14:textId="3E362AA1" w:rsidR="0078295B" w:rsidRPr="0078295B" w:rsidRDefault="0078295B" w:rsidP="0078295B"/>
        </w:tc>
        <w:tc>
          <w:tcPr>
            <w:tcW w:w="2925" w:type="dxa"/>
          </w:tcPr>
          <w:p w14:paraId="2A053AC1" w14:textId="77777777" w:rsidR="0078295B" w:rsidRDefault="0078295B" w:rsidP="0078295B">
            <w:pPr>
              <w:jc w:val="center"/>
            </w:pPr>
          </w:p>
          <w:p w14:paraId="086E5CA7" w14:textId="7CF890F8" w:rsidR="0078295B" w:rsidRPr="0078295B" w:rsidRDefault="001B06C4" w:rsidP="0078295B">
            <w:pPr>
              <w:jc w:val="center"/>
            </w:pPr>
            <w:r>
              <w:t>Not applicable as no KS2 data due to covid</w:t>
            </w:r>
          </w:p>
        </w:tc>
      </w:tr>
      <w:tr w:rsidR="0078295B" w14:paraId="4852AA6A" w14:textId="77777777" w:rsidTr="0078295B">
        <w:tc>
          <w:tcPr>
            <w:tcW w:w="6091" w:type="dxa"/>
          </w:tcPr>
          <w:p w14:paraId="5A1DCB40" w14:textId="77777777" w:rsidR="0078295B" w:rsidRDefault="0078295B" w:rsidP="0078295B"/>
          <w:p w14:paraId="7F4E90D9" w14:textId="77777777" w:rsidR="0078295B" w:rsidRDefault="0078295B" w:rsidP="0078295B">
            <w:r>
              <w:t>Attainment – Percentage of pupils achieving a grade 5 or higher in GCSE English and Maths</w:t>
            </w:r>
          </w:p>
          <w:p w14:paraId="4D851028" w14:textId="09534229" w:rsidR="0078295B" w:rsidRPr="0078295B" w:rsidRDefault="0078295B" w:rsidP="0078295B"/>
        </w:tc>
        <w:tc>
          <w:tcPr>
            <w:tcW w:w="2925" w:type="dxa"/>
          </w:tcPr>
          <w:p w14:paraId="57E374D4" w14:textId="77777777" w:rsidR="0078295B" w:rsidRDefault="0078295B" w:rsidP="0078295B">
            <w:pPr>
              <w:jc w:val="center"/>
            </w:pPr>
          </w:p>
          <w:p w14:paraId="04C9AF31" w14:textId="718FC07F" w:rsidR="0078295B" w:rsidRPr="0078295B" w:rsidRDefault="001B06C4" w:rsidP="0078295B">
            <w:pPr>
              <w:jc w:val="center"/>
            </w:pPr>
            <w:r>
              <w:t>43</w:t>
            </w:r>
            <w:r w:rsidR="0078295B">
              <w:t>%</w:t>
            </w:r>
          </w:p>
        </w:tc>
      </w:tr>
      <w:tr w:rsidR="0078295B" w14:paraId="2A418BD6" w14:textId="77777777" w:rsidTr="0078295B">
        <w:tc>
          <w:tcPr>
            <w:tcW w:w="6091" w:type="dxa"/>
          </w:tcPr>
          <w:p w14:paraId="20015B47" w14:textId="77777777" w:rsidR="0078295B" w:rsidRDefault="0078295B" w:rsidP="0078295B"/>
          <w:p w14:paraId="741D0ACF" w14:textId="202ECA38" w:rsidR="0078295B" w:rsidRDefault="0078295B" w:rsidP="0078295B">
            <w:r>
              <w:t xml:space="preserve">Attainment 8 </w:t>
            </w:r>
            <w:r w:rsidR="003123DC">
              <w:t>s</w:t>
            </w:r>
            <w:r>
              <w:t>core</w:t>
            </w:r>
          </w:p>
          <w:p w14:paraId="26608684" w14:textId="1A2BE0AF" w:rsidR="0078295B" w:rsidRPr="0078295B" w:rsidRDefault="0078295B" w:rsidP="0078295B"/>
        </w:tc>
        <w:tc>
          <w:tcPr>
            <w:tcW w:w="2925" w:type="dxa"/>
          </w:tcPr>
          <w:p w14:paraId="0AF9FFDB" w14:textId="77777777" w:rsidR="0078295B" w:rsidRDefault="0078295B" w:rsidP="0078295B">
            <w:pPr>
              <w:jc w:val="center"/>
            </w:pPr>
          </w:p>
          <w:p w14:paraId="60153FE8" w14:textId="055E125D" w:rsidR="0078295B" w:rsidRPr="0078295B" w:rsidRDefault="00BE6345" w:rsidP="0078295B">
            <w:pPr>
              <w:jc w:val="center"/>
            </w:pPr>
            <w:r>
              <w:t>4</w:t>
            </w:r>
            <w:r w:rsidR="001B06C4">
              <w:t>3.81</w:t>
            </w:r>
          </w:p>
        </w:tc>
      </w:tr>
      <w:tr w:rsidR="0078295B" w14:paraId="0E82C634" w14:textId="77777777" w:rsidTr="0078295B">
        <w:tc>
          <w:tcPr>
            <w:tcW w:w="6091" w:type="dxa"/>
          </w:tcPr>
          <w:p w14:paraId="7497DEBD" w14:textId="77777777" w:rsidR="0078295B" w:rsidRDefault="0078295B" w:rsidP="0078295B"/>
          <w:p w14:paraId="647DAAB0" w14:textId="77777777" w:rsidR="0078295B" w:rsidRDefault="0078295B" w:rsidP="0078295B">
            <w:r>
              <w:t>English Baccalaureate (EBacc) average point score (APS)</w:t>
            </w:r>
          </w:p>
          <w:p w14:paraId="2F9E6171" w14:textId="6F1786B6" w:rsidR="0078295B" w:rsidRPr="0078295B" w:rsidRDefault="0078295B" w:rsidP="0078295B"/>
        </w:tc>
        <w:tc>
          <w:tcPr>
            <w:tcW w:w="2925" w:type="dxa"/>
          </w:tcPr>
          <w:p w14:paraId="3EA9EA84" w14:textId="77777777" w:rsidR="0078295B" w:rsidRDefault="0078295B" w:rsidP="0078295B">
            <w:pPr>
              <w:jc w:val="center"/>
            </w:pPr>
          </w:p>
          <w:p w14:paraId="6A0CF794" w14:textId="194BC21E" w:rsidR="0078295B" w:rsidRPr="0078295B" w:rsidRDefault="0078295B" w:rsidP="0078295B">
            <w:pPr>
              <w:jc w:val="center"/>
            </w:pPr>
            <w:r>
              <w:t>3.</w:t>
            </w:r>
            <w:r w:rsidR="001B06C4">
              <w:t>73</w:t>
            </w:r>
          </w:p>
        </w:tc>
      </w:tr>
      <w:tr w:rsidR="0078295B" w14:paraId="4D2F9FA2" w14:textId="77777777" w:rsidTr="0078295B">
        <w:tc>
          <w:tcPr>
            <w:tcW w:w="6091" w:type="dxa"/>
          </w:tcPr>
          <w:p w14:paraId="49867AE6" w14:textId="77777777" w:rsidR="0078295B" w:rsidRDefault="0078295B" w:rsidP="0078295B"/>
          <w:p w14:paraId="7FFC3064" w14:textId="3ABA9F6F" w:rsidR="0078295B" w:rsidRDefault="0078295B" w:rsidP="0078295B">
            <w:r>
              <w:t>Percentage of pupil</w:t>
            </w:r>
            <w:r w:rsidR="000A637F">
              <w:t>s</w:t>
            </w:r>
            <w:r>
              <w:t xml:space="preserve"> that enter the EBacc</w:t>
            </w:r>
          </w:p>
          <w:p w14:paraId="0FFC1934" w14:textId="2BFD37FC" w:rsidR="0078295B" w:rsidRDefault="0078295B" w:rsidP="0078295B"/>
        </w:tc>
        <w:tc>
          <w:tcPr>
            <w:tcW w:w="2925" w:type="dxa"/>
          </w:tcPr>
          <w:p w14:paraId="1CFE1FE3" w14:textId="0BE31CB3" w:rsidR="0078295B" w:rsidRDefault="0078295B" w:rsidP="0078295B">
            <w:pPr>
              <w:jc w:val="center"/>
            </w:pPr>
          </w:p>
          <w:p w14:paraId="555F89A0" w14:textId="73FB35CE" w:rsidR="0078295B" w:rsidRPr="0078295B" w:rsidRDefault="001B06C4" w:rsidP="0078295B">
            <w:pPr>
              <w:jc w:val="center"/>
            </w:pPr>
            <w:r>
              <w:t>28%</w:t>
            </w:r>
          </w:p>
        </w:tc>
      </w:tr>
    </w:tbl>
    <w:p w14:paraId="65880616" w14:textId="77777777" w:rsidR="0078295B" w:rsidRDefault="0078295B" w:rsidP="0078295B">
      <w:pPr>
        <w:jc w:val="center"/>
        <w:rPr>
          <w:u w:val="single"/>
        </w:rPr>
      </w:pPr>
    </w:p>
    <w:p w14:paraId="310F2B4E" w14:textId="08B84DC3" w:rsidR="00F55C96" w:rsidRDefault="00F55C96" w:rsidP="00F55C96">
      <w:pPr>
        <w:rPr>
          <w:b/>
          <w:bCs/>
          <w:u w:val="single"/>
        </w:rPr>
      </w:pPr>
      <w:r w:rsidRPr="0078295B">
        <w:rPr>
          <w:b/>
          <w:bCs/>
          <w:u w:val="single"/>
        </w:rPr>
        <w:t>KS</w:t>
      </w:r>
      <w:r>
        <w:rPr>
          <w:b/>
          <w:bCs/>
          <w:u w:val="single"/>
        </w:rPr>
        <w:t>5</w:t>
      </w:r>
      <w:r w:rsidRPr="0078295B">
        <w:rPr>
          <w:b/>
          <w:bCs/>
          <w:u w:val="single"/>
        </w:rPr>
        <w:t xml:space="preserve"> Results</w:t>
      </w:r>
      <w:r>
        <w:rPr>
          <w:b/>
          <w:bCs/>
          <w:u w:val="single"/>
        </w:rPr>
        <w:t xml:space="preserve"> </w:t>
      </w:r>
      <w:r w:rsidR="001B06C4">
        <w:rPr>
          <w:b/>
          <w:bCs/>
          <w:u w:val="single"/>
        </w:rPr>
        <w:t>2024/25</w:t>
      </w:r>
    </w:p>
    <w:tbl>
      <w:tblPr>
        <w:tblStyle w:val="TableGrid"/>
        <w:tblW w:w="0" w:type="auto"/>
        <w:tblLook w:val="04A0" w:firstRow="1" w:lastRow="0" w:firstColumn="1" w:lastColumn="0" w:noHBand="0" w:noVBand="1"/>
      </w:tblPr>
      <w:tblGrid>
        <w:gridCol w:w="6091"/>
        <w:gridCol w:w="2925"/>
      </w:tblGrid>
      <w:tr w:rsidR="00F55C96" w:rsidRPr="0078295B" w14:paraId="09CC37DF" w14:textId="77777777" w:rsidTr="00D53919">
        <w:tc>
          <w:tcPr>
            <w:tcW w:w="6091" w:type="dxa"/>
          </w:tcPr>
          <w:p w14:paraId="1C194D2E" w14:textId="77777777" w:rsidR="00F55C96" w:rsidRPr="0078295B" w:rsidRDefault="00F55C96" w:rsidP="00D53919">
            <w:pPr>
              <w:jc w:val="center"/>
              <w:rPr>
                <w:b/>
                <w:bCs/>
              </w:rPr>
            </w:pPr>
            <w:r w:rsidRPr="0078295B">
              <w:rPr>
                <w:b/>
                <w:bCs/>
              </w:rPr>
              <w:t>Performance Measure</w:t>
            </w:r>
          </w:p>
        </w:tc>
        <w:tc>
          <w:tcPr>
            <w:tcW w:w="2925" w:type="dxa"/>
          </w:tcPr>
          <w:p w14:paraId="11B28CB2" w14:textId="49F74E35" w:rsidR="00F55C96" w:rsidRPr="0078295B" w:rsidRDefault="00F55C96" w:rsidP="00D53919">
            <w:pPr>
              <w:jc w:val="center"/>
              <w:rPr>
                <w:b/>
                <w:bCs/>
              </w:rPr>
            </w:pPr>
            <w:r>
              <w:rPr>
                <w:b/>
                <w:bCs/>
              </w:rPr>
              <w:t>Grade/Number/ Percentage</w:t>
            </w:r>
          </w:p>
        </w:tc>
      </w:tr>
      <w:tr w:rsidR="00F55C96" w:rsidRPr="0078295B" w14:paraId="18B75EF6" w14:textId="77777777" w:rsidTr="00D53919">
        <w:tc>
          <w:tcPr>
            <w:tcW w:w="6091" w:type="dxa"/>
          </w:tcPr>
          <w:p w14:paraId="7A882A1E" w14:textId="77777777" w:rsidR="00F55C96" w:rsidRDefault="00F55C96" w:rsidP="00D53919"/>
          <w:p w14:paraId="54C4C55F" w14:textId="2C2CAA3C" w:rsidR="00F55C96" w:rsidRDefault="00F55C96" w:rsidP="00D53919">
            <w:r w:rsidRPr="0078295B">
              <w:t xml:space="preserve">Number of pupils on roll at the end of </w:t>
            </w:r>
            <w:r>
              <w:t>Key Stage 5</w:t>
            </w:r>
          </w:p>
          <w:p w14:paraId="1BD4ACC0" w14:textId="77777777" w:rsidR="00F55C96" w:rsidRPr="0078295B" w:rsidRDefault="00F55C96" w:rsidP="00D53919"/>
        </w:tc>
        <w:tc>
          <w:tcPr>
            <w:tcW w:w="2925" w:type="dxa"/>
          </w:tcPr>
          <w:p w14:paraId="48F3F00E" w14:textId="77777777" w:rsidR="00F55C96" w:rsidRDefault="00F55C96" w:rsidP="00D53919">
            <w:pPr>
              <w:jc w:val="center"/>
            </w:pPr>
          </w:p>
          <w:p w14:paraId="514D2CAA" w14:textId="7C21C9DD" w:rsidR="00F55C96" w:rsidRPr="0078295B" w:rsidRDefault="001B06C4" w:rsidP="00D53919">
            <w:pPr>
              <w:jc w:val="center"/>
            </w:pPr>
            <w:r>
              <w:t>53</w:t>
            </w:r>
          </w:p>
        </w:tc>
      </w:tr>
      <w:tr w:rsidR="00F55C96" w:rsidRPr="0078295B" w14:paraId="5C80FDED" w14:textId="77777777" w:rsidTr="00D53919">
        <w:tc>
          <w:tcPr>
            <w:tcW w:w="6091" w:type="dxa"/>
          </w:tcPr>
          <w:p w14:paraId="4DC2B7BE" w14:textId="77777777" w:rsidR="00F55C96" w:rsidRDefault="00F55C96" w:rsidP="00D53919"/>
          <w:p w14:paraId="420FCC97" w14:textId="56F51F64" w:rsidR="00F55C96" w:rsidRDefault="00F55C96" w:rsidP="00D53919">
            <w:r>
              <w:t>Average A level result</w:t>
            </w:r>
          </w:p>
          <w:p w14:paraId="73288B27" w14:textId="77777777" w:rsidR="00F55C96" w:rsidRPr="0078295B" w:rsidRDefault="00F55C96" w:rsidP="00D53919"/>
        </w:tc>
        <w:tc>
          <w:tcPr>
            <w:tcW w:w="2925" w:type="dxa"/>
          </w:tcPr>
          <w:p w14:paraId="756F5040" w14:textId="77777777" w:rsidR="00F55C96" w:rsidRDefault="00F55C96" w:rsidP="00D53919">
            <w:pPr>
              <w:jc w:val="center"/>
            </w:pPr>
          </w:p>
          <w:p w14:paraId="4A669578" w14:textId="34AA8953" w:rsidR="00F55C96" w:rsidRPr="0078295B" w:rsidRDefault="001B06C4" w:rsidP="00D53919">
            <w:pPr>
              <w:jc w:val="center"/>
            </w:pPr>
            <w:r>
              <w:t>D+</w:t>
            </w:r>
          </w:p>
        </w:tc>
      </w:tr>
      <w:tr w:rsidR="00F55C96" w:rsidRPr="0078295B" w14:paraId="0C6B6409" w14:textId="77777777" w:rsidTr="00D53919">
        <w:tc>
          <w:tcPr>
            <w:tcW w:w="6091" w:type="dxa"/>
          </w:tcPr>
          <w:p w14:paraId="5B9A4510" w14:textId="77777777" w:rsidR="00F55C96" w:rsidRDefault="00F55C96" w:rsidP="00D53919"/>
          <w:p w14:paraId="48585A18" w14:textId="71FF70C5" w:rsidR="00F55C96" w:rsidRDefault="00F55C96" w:rsidP="00D53919">
            <w:r>
              <w:t>Average academic qualifications</w:t>
            </w:r>
          </w:p>
          <w:p w14:paraId="0085180D" w14:textId="77777777" w:rsidR="00F55C96" w:rsidRPr="0078295B" w:rsidRDefault="00F55C96" w:rsidP="00D53919"/>
        </w:tc>
        <w:tc>
          <w:tcPr>
            <w:tcW w:w="2925" w:type="dxa"/>
          </w:tcPr>
          <w:p w14:paraId="0CF84939" w14:textId="77777777" w:rsidR="00F55C96" w:rsidRDefault="00F55C96" w:rsidP="00D53919">
            <w:pPr>
              <w:jc w:val="center"/>
            </w:pPr>
          </w:p>
          <w:p w14:paraId="2C1DC06A" w14:textId="2A593F6E" w:rsidR="00F55C96" w:rsidRPr="0078295B" w:rsidRDefault="00F55C96" w:rsidP="00D53919">
            <w:pPr>
              <w:jc w:val="center"/>
            </w:pPr>
            <w:r>
              <w:t>C-</w:t>
            </w:r>
          </w:p>
        </w:tc>
      </w:tr>
      <w:tr w:rsidR="00F55C96" w:rsidRPr="0078295B" w14:paraId="7F6E5479" w14:textId="77777777" w:rsidTr="00D53919">
        <w:tc>
          <w:tcPr>
            <w:tcW w:w="6091" w:type="dxa"/>
          </w:tcPr>
          <w:p w14:paraId="43993E98" w14:textId="77777777" w:rsidR="00F55C96" w:rsidRDefault="00F55C96" w:rsidP="00D53919"/>
          <w:p w14:paraId="227F1D31" w14:textId="609E126B" w:rsidR="00F55C96" w:rsidRDefault="00F55C96" w:rsidP="00D53919">
            <w:r>
              <w:t>Average Applied General qualifications</w:t>
            </w:r>
          </w:p>
        </w:tc>
        <w:tc>
          <w:tcPr>
            <w:tcW w:w="2925" w:type="dxa"/>
          </w:tcPr>
          <w:p w14:paraId="3C646A9C" w14:textId="77777777" w:rsidR="00F55C96" w:rsidRDefault="00F55C96" w:rsidP="00D53919">
            <w:pPr>
              <w:jc w:val="center"/>
            </w:pPr>
          </w:p>
          <w:p w14:paraId="41AAF6C0" w14:textId="74E0FC1D" w:rsidR="00F55C96" w:rsidRDefault="00F55C96" w:rsidP="00D53919">
            <w:pPr>
              <w:jc w:val="center"/>
            </w:pPr>
            <w:r>
              <w:t>Distinction –</w:t>
            </w:r>
          </w:p>
          <w:p w14:paraId="018FA9B6" w14:textId="1432D627" w:rsidR="00F55C96" w:rsidRDefault="00F55C96" w:rsidP="00D53919">
            <w:pPr>
              <w:jc w:val="center"/>
            </w:pPr>
          </w:p>
        </w:tc>
      </w:tr>
      <w:tr w:rsidR="00F55C96" w:rsidRPr="0078295B" w14:paraId="50170F29" w14:textId="77777777" w:rsidTr="00D53919">
        <w:tc>
          <w:tcPr>
            <w:tcW w:w="6091" w:type="dxa"/>
          </w:tcPr>
          <w:p w14:paraId="5E7D8D9C" w14:textId="77777777" w:rsidR="00F55C96" w:rsidRDefault="00F55C96" w:rsidP="00D53919"/>
          <w:p w14:paraId="7881F6EE" w14:textId="0CBF9852" w:rsidR="00F55C96" w:rsidRDefault="00F55C96" w:rsidP="00D53919">
            <w:r>
              <w:t>Average Tech Level qualifications</w:t>
            </w:r>
          </w:p>
        </w:tc>
        <w:tc>
          <w:tcPr>
            <w:tcW w:w="2925" w:type="dxa"/>
          </w:tcPr>
          <w:p w14:paraId="05B2CB23" w14:textId="77777777" w:rsidR="00F55C96" w:rsidRDefault="00F55C96" w:rsidP="00D53919">
            <w:pPr>
              <w:jc w:val="center"/>
            </w:pPr>
          </w:p>
          <w:p w14:paraId="4B9014EB" w14:textId="374A1A92" w:rsidR="00F55C96" w:rsidRDefault="00F55C96" w:rsidP="00D53919">
            <w:pPr>
              <w:jc w:val="center"/>
            </w:pPr>
            <w:r>
              <w:t>Distinction</w:t>
            </w:r>
          </w:p>
          <w:p w14:paraId="2CEB0B23" w14:textId="3DF143A5" w:rsidR="00F55C96" w:rsidRDefault="00F55C96" w:rsidP="00D53919">
            <w:pPr>
              <w:jc w:val="center"/>
            </w:pPr>
          </w:p>
        </w:tc>
      </w:tr>
      <w:tr w:rsidR="003B0AB2" w:rsidRPr="0078295B" w14:paraId="0493E5C6" w14:textId="77777777" w:rsidTr="00D53919">
        <w:tc>
          <w:tcPr>
            <w:tcW w:w="6091" w:type="dxa"/>
          </w:tcPr>
          <w:p w14:paraId="64C26EDC" w14:textId="77777777" w:rsidR="003B0AB2" w:rsidRDefault="003B0AB2" w:rsidP="00D53919"/>
          <w:p w14:paraId="337B81DD" w14:textId="77777777" w:rsidR="003B0AB2" w:rsidRDefault="003B0AB2" w:rsidP="00D53919">
            <w:r>
              <w:t>Destinations (202</w:t>
            </w:r>
            <w:r w:rsidR="008E01CB">
              <w:t>2</w:t>
            </w:r>
            <w:r>
              <w:t xml:space="preserve"> leavers</w:t>
            </w:r>
            <w:r w:rsidR="001B06C4">
              <w:t>*</w:t>
            </w:r>
            <w:r>
              <w:t>) – Percentage of students progressing to education</w:t>
            </w:r>
            <w:r w:rsidR="000E7925">
              <w:t>, training</w:t>
            </w:r>
            <w:r>
              <w:t xml:space="preserve"> or employment. </w:t>
            </w:r>
          </w:p>
          <w:p w14:paraId="6B5FD14B" w14:textId="40A9F1F6" w:rsidR="001B06C4" w:rsidRDefault="001B06C4" w:rsidP="00D53919">
            <w:r>
              <w:t>*Updated February 2025 according to Comapre schools.</w:t>
            </w:r>
          </w:p>
        </w:tc>
        <w:tc>
          <w:tcPr>
            <w:tcW w:w="2925" w:type="dxa"/>
          </w:tcPr>
          <w:p w14:paraId="2B9F5BB8" w14:textId="77777777" w:rsidR="003B0AB2" w:rsidRDefault="003B0AB2" w:rsidP="00D53919">
            <w:pPr>
              <w:jc w:val="center"/>
            </w:pPr>
          </w:p>
          <w:p w14:paraId="55ED1D8F" w14:textId="23C57A08" w:rsidR="003B0AB2" w:rsidRDefault="003B0AB2" w:rsidP="00D53919">
            <w:pPr>
              <w:jc w:val="center"/>
            </w:pPr>
            <w:r>
              <w:t>8</w:t>
            </w:r>
            <w:r w:rsidR="001B06C4">
              <w:t>4</w:t>
            </w:r>
            <w:r>
              <w:t>%</w:t>
            </w:r>
          </w:p>
        </w:tc>
      </w:tr>
      <w:tr w:rsidR="003B0AB2" w:rsidRPr="0078295B" w14:paraId="0C6188A2" w14:textId="77777777" w:rsidTr="00D53919">
        <w:tc>
          <w:tcPr>
            <w:tcW w:w="6091" w:type="dxa"/>
          </w:tcPr>
          <w:p w14:paraId="25C58C05" w14:textId="77777777" w:rsidR="003B0AB2" w:rsidRDefault="003B0AB2" w:rsidP="00D53919"/>
          <w:p w14:paraId="3782F3DC" w14:textId="77777777" w:rsidR="003B0AB2" w:rsidRDefault="003B0AB2" w:rsidP="00D53919">
            <w:r>
              <w:t>Retention</w:t>
            </w:r>
          </w:p>
          <w:p w14:paraId="600B91B5" w14:textId="21BDEEFA" w:rsidR="003B0AB2" w:rsidRDefault="003B0AB2" w:rsidP="00D53919"/>
        </w:tc>
        <w:tc>
          <w:tcPr>
            <w:tcW w:w="2925" w:type="dxa"/>
          </w:tcPr>
          <w:p w14:paraId="3D097E20" w14:textId="77777777" w:rsidR="003B0AB2" w:rsidRDefault="003B0AB2" w:rsidP="00D53919">
            <w:pPr>
              <w:jc w:val="center"/>
            </w:pPr>
          </w:p>
          <w:p w14:paraId="36E1B821" w14:textId="2F7F7176" w:rsidR="007D5309" w:rsidRDefault="00F73C33" w:rsidP="00D53919">
            <w:pPr>
              <w:jc w:val="center"/>
            </w:pPr>
            <w:r>
              <w:t>8</w:t>
            </w:r>
            <w:r w:rsidR="00CE355D">
              <w:t>7</w:t>
            </w:r>
            <w:r w:rsidR="007D5309">
              <w:t>%</w:t>
            </w:r>
          </w:p>
        </w:tc>
      </w:tr>
    </w:tbl>
    <w:p w14:paraId="3D98FC2D" w14:textId="77777777" w:rsidR="00F55C96" w:rsidRPr="0078295B" w:rsidRDefault="00F55C96" w:rsidP="00F55C96">
      <w:pPr>
        <w:rPr>
          <w:u w:val="single"/>
        </w:rPr>
      </w:pPr>
    </w:p>
    <w:sectPr w:rsidR="00F55C96" w:rsidRPr="0078295B" w:rsidSect="003D0C5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95B"/>
    <w:rsid w:val="000A637F"/>
    <w:rsid w:val="000E7925"/>
    <w:rsid w:val="001B06C4"/>
    <w:rsid w:val="002B456B"/>
    <w:rsid w:val="003123DC"/>
    <w:rsid w:val="00365092"/>
    <w:rsid w:val="003B0AB2"/>
    <w:rsid w:val="003D0C56"/>
    <w:rsid w:val="003F5425"/>
    <w:rsid w:val="00512E0A"/>
    <w:rsid w:val="00547D52"/>
    <w:rsid w:val="0078295B"/>
    <w:rsid w:val="007D5309"/>
    <w:rsid w:val="008E01CB"/>
    <w:rsid w:val="00937DB7"/>
    <w:rsid w:val="00B22EA3"/>
    <w:rsid w:val="00B31D55"/>
    <w:rsid w:val="00BE6345"/>
    <w:rsid w:val="00C34D74"/>
    <w:rsid w:val="00CE355D"/>
    <w:rsid w:val="00D162AB"/>
    <w:rsid w:val="00F55C96"/>
    <w:rsid w:val="00F73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A948D0"/>
  <w15:chartTrackingRefBased/>
  <w15:docId w15:val="{A2258AB2-27DA-4A40-A846-007E1EEB2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2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55C96"/>
    <w:rPr>
      <w:color w:val="0000FF"/>
      <w:u w:val="single"/>
    </w:rPr>
  </w:style>
  <w:style w:type="character" w:styleId="FollowedHyperlink">
    <w:name w:val="FollowedHyperlink"/>
    <w:basedOn w:val="DefaultParagraphFont"/>
    <w:uiPriority w:val="99"/>
    <w:semiHidden/>
    <w:unhideWhenUsed/>
    <w:rsid w:val="003650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ompare-school-performance.service.gov.uk/school/136125/the-bourne-acade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237</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Tracie Deane</dc:creator>
  <cp:keywords/>
  <dc:description/>
  <cp:lastModifiedBy>Tracie Deane</cp:lastModifiedBy>
  <cp:revision>3</cp:revision>
  <dcterms:created xsi:type="dcterms:W3CDTF">2025-09-16T11:22:00Z</dcterms:created>
  <dcterms:modified xsi:type="dcterms:W3CDTF">2025-09-16T14:37:00Z</dcterms:modified>
</cp:coreProperties>
</file>